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481575" w14:textId="066FC531" w:rsidR="005546B1" w:rsidRPr="005546B1" w:rsidRDefault="005546B1" w:rsidP="005546B1">
      <w:pPr>
        <w:spacing w:line="360" w:lineRule="auto"/>
        <w:jc w:val="center"/>
        <w:rPr>
          <w:rFonts w:ascii="Arial" w:hAnsi="Arial" w:cs="Arial"/>
          <w:b/>
          <w:sz w:val="36"/>
          <w:szCs w:val="36"/>
          <w:u w:val="single"/>
        </w:rPr>
      </w:pPr>
      <w:bookmarkStart w:id="0" w:name="_GoBack"/>
      <w:bookmarkEnd w:id="0"/>
      <w:r w:rsidRPr="005546B1">
        <w:rPr>
          <w:rFonts w:ascii="Arial" w:hAnsi="Arial" w:cs="Arial"/>
          <w:b/>
          <w:sz w:val="22"/>
          <w:szCs w:val="22"/>
          <w:u w:val="single"/>
        </w:rPr>
        <w:t xml:space="preserve">Accepted for publication in </w:t>
      </w:r>
      <w:r w:rsidRPr="005546B1">
        <w:rPr>
          <w:rFonts w:ascii="Arial" w:eastAsia="Times New Roman" w:hAnsi="Arial" w:cs="Arial"/>
          <w:b/>
          <w:i/>
          <w:sz w:val="22"/>
          <w:szCs w:val="22"/>
          <w:u w:val="single"/>
        </w:rPr>
        <w:t>Acta Psychiatrica Scandinavica</w:t>
      </w:r>
      <w:r w:rsidR="009378DE">
        <w:rPr>
          <w:rFonts w:ascii="Arial" w:eastAsia="Times New Roman" w:hAnsi="Arial" w:cs="Arial"/>
          <w:b/>
          <w:i/>
          <w:sz w:val="22"/>
          <w:szCs w:val="22"/>
          <w:u w:val="single"/>
        </w:rPr>
        <w:t xml:space="preserve"> (2017)</w:t>
      </w:r>
    </w:p>
    <w:p w14:paraId="2F65AB38" w14:textId="77777777" w:rsidR="005546B1" w:rsidRDefault="005546B1" w:rsidP="00A263E5">
      <w:pPr>
        <w:spacing w:line="360" w:lineRule="auto"/>
        <w:jc w:val="center"/>
        <w:rPr>
          <w:rFonts w:ascii="Arial" w:hAnsi="Arial" w:cs="Arial"/>
          <w:b/>
          <w:sz w:val="36"/>
          <w:szCs w:val="36"/>
        </w:rPr>
      </w:pPr>
    </w:p>
    <w:p w14:paraId="2428AF77" w14:textId="070383D2" w:rsidR="005546B1" w:rsidRPr="005546B1" w:rsidRDefault="00BB2E07" w:rsidP="005546B1">
      <w:pPr>
        <w:spacing w:line="360" w:lineRule="auto"/>
        <w:jc w:val="center"/>
        <w:rPr>
          <w:rFonts w:ascii="Arial" w:hAnsi="Arial" w:cs="Arial"/>
          <w:b/>
          <w:sz w:val="36"/>
          <w:szCs w:val="36"/>
          <w:lang w:val="en-GB"/>
        </w:rPr>
      </w:pPr>
      <w:r>
        <w:rPr>
          <w:rFonts w:ascii="Arial" w:hAnsi="Arial" w:cs="Arial"/>
          <w:b/>
          <w:sz w:val="36"/>
          <w:szCs w:val="36"/>
        </w:rPr>
        <w:t>Neurodevelopmental o</w:t>
      </w:r>
      <w:r w:rsidR="00F63BD5">
        <w:rPr>
          <w:rFonts w:ascii="Arial" w:hAnsi="Arial" w:cs="Arial"/>
          <w:b/>
          <w:sz w:val="36"/>
          <w:szCs w:val="36"/>
        </w:rPr>
        <w:t>rigins of</w:t>
      </w:r>
      <w:r w:rsidR="00F63BD5">
        <w:rPr>
          <w:rFonts w:ascii="Arial" w:hAnsi="Arial" w:cs="Arial"/>
          <w:b/>
          <w:sz w:val="36"/>
          <w:szCs w:val="36"/>
          <w:lang w:val="en-GB"/>
        </w:rPr>
        <w:t xml:space="preserve"> </w:t>
      </w:r>
      <w:r>
        <w:rPr>
          <w:rFonts w:ascii="Arial" w:hAnsi="Arial" w:cs="Arial"/>
          <w:b/>
          <w:sz w:val="36"/>
          <w:szCs w:val="36"/>
          <w:lang w:val="en-GB"/>
        </w:rPr>
        <w:t>abnormal c</w:t>
      </w:r>
      <w:r w:rsidR="00FE780A" w:rsidRPr="00FE780A">
        <w:rPr>
          <w:rFonts w:ascii="Arial" w:hAnsi="Arial" w:cs="Arial"/>
          <w:b/>
          <w:sz w:val="36"/>
          <w:szCs w:val="36"/>
          <w:lang w:val="en-GB"/>
        </w:rPr>
        <w:t xml:space="preserve">ortical </w:t>
      </w:r>
      <w:r>
        <w:rPr>
          <w:rFonts w:ascii="Arial" w:hAnsi="Arial" w:cs="Arial"/>
          <w:b/>
          <w:sz w:val="36"/>
          <w:szCs w:val="36"/>
          <w:lang w:val="en-GB"/>
        </w:rPr>
        <w:t>m</w:t>
      </w:r>
      <w:r w:rsidR="00A16354">
        <w:rPr>
          <w:rFonts w:ascii="Arial" w:hAnsi="Arial" w:cs="Arial"/>
          <w:b/>
          <w:sz w:val="36"/>
          <w:szCs w:val="36"/>
          <w:lang w:val="en-GB"/>
        </w:rPr>
        <w:t xml:space="preserve">orphology </w:t>
      </w:r>
      <w:r w:rsidR="00FE780A" w:rsidRPr="00FE780A">
        <w:rPr>
          <w:rFonts w:ascii="Arial" w:hAnsi="Arial" w:cs="Arial"/>
          <w:b/>
          <w:sz w:val="36"/>
          <w:szCs w:val="36"/>
        </w:rPr>
        <w:t xml:space="preserve">in </w:t>
      </w:r>
      <w:r>
        <w:rPr>
          <w:rFonts w:ascii="Arial" w:hAnsi="Arial" w:cs="Arial"/>
          <w:b/>
          <w:sz w:val="36"/>
          <w:szCs w:val="36"/>
        </w:rPr>
        <w:t xml:space="preserve">dissociative identity </w:t>
      </w:r>
      <w:r w:rsidRPr="005546B1">
        <w:rPr>
          <w:rFonts w:ascii="Arial" w:hAnsi="Arial" w:cs="Arial"/>
          <w:b/>
          <w:sz w:val="36"/>
          <w:szCs w:val="36"/>
        </w:rPr>
        <w:t>d</w:t>
      </w:r>
      <w:r w:rsidR="00FE780A" w:rsidRPr="005546B1">
        <w:rPr>
          <w:rFonts w:ascii="Arial" w:hAnsi="Arial" w:cs="Arial"/>
          <w:b/>
          <w:sz w:val="36"/>
          <w:szCs w:val="36"/>
        </w:rPr>
        <w:t>isorder</w:t>
      </w:r>
      <w:r w:rsidR="00F17B1C" w:rsidRPr="005546B1">
        <w:rPr>
          <w:rFonts w:ascii="Arial" w:hAnsi="Arial" w:cs="Arial"/>
          <w:b/>
          <w:sz w:val="36"/>
          <w:szCs w:val="36"/>
        </w:rPr>
        <w:t xml:space="preserve"> </w:t>
      </w:r>
    </w:p>
    <w:p w14:paraId="5AD11141" w14:textId="110040DC" w:rsidR="0005767E" w:rsidRPr="0025625E" w:rsidRDefault="0005767E" w:rsidP="00237D31">
      <w:pPr>
        <w:spacing w:line="360" w:lineRule="auto"/>
        <w:jc w:val="center"/>
        <w:rPr>
          <w:rFonts w:ascii="Arial" w:hAnsi="Arial" w:cs="Arial"/>
          <w:b/>
          <w:sz w:val="22"/>
          <w:szCs w:val="22"/>
        </w:rPr>
      </w:pPr>
    </w:p>
    <w:p w14:paraId="0295CE5B" w14:textId="77777777" w:rsidR="0025625E" w:rsidRDefault="00573805" w:rsidP="00237D31">
      <w:pPr>
        <w:pStyle w:val="Geenafstand"/>
        <w:spacing w:line="360" w:lineRule="auto"/>
        <w:jc w:val="center"/>
        <w:rPr>
          <w:rFonts w:ascii="Arial" w:hAnsi="Arial" w:cs="Arial"/>
          <w:b/>
          <w:color w:val="auto"/>
          <w:sz w:val="22"/>
          <w:szCs w:val="22"/>
        </w:rPr>
      </w:pPr>
      <w:r w:rsidRPr="0025625E">
        <w:rPr>
          <w:rFonts w:ascii="Arial" w:hAnsi="Arial" w:cs="Arial"/>
          <w:b/>
          <w:color w:val="auto"/>
          <w:sz w:val="22"/>
          <w:szCs w:val="22"/>
        </w:rPr>
        <w:t xml:space="preserve">Antje A.T. S. Reinders, PhD </w:t>
      </w:r>
      <w:r w:rsidRPr="0025625E">
        <w:rPr>
          <w:rFonts w:ascii="Arial" w:hAnsi="Arial" w:cs="Arial"/>
          <w:b/>
          <w:color w:val="auto"/>
          <w:position w:val="12"/>
          <w:sz w:val="22"/>
          <w:szCs w:val="22"/>
        </w:rPr>
        <w:t>1,2§</w:t>
      </w:r>
      <w:r w:rsidRPr="0025625E">
        <w:rPr>
          <w:rFonts w:ascii="Arial" w:hAnsi="Arial" w:cs="Arial"/>
          <w:b/>
          <w:color w:val="auto"/>
          <w:sz w:val="22"/>
          <w:szCs w:val="22"/>
        </w:rPr>
        <w:t xml:space="preserve">, Sima </w:t>
      </w:r>
      <w:r w:rsidR="001F2781" w:rsidRPr="0025625E">
        <w:rPr>
          <w:rFonts w:ascii="Arial" w:hAnsi="Arial" w:cs="Arial"/>
          <w:b/>
          <w:color w:val="auto"/>
          <w:sz w:val="22"/>
          <w:szCs w:val="22"/>
        </w:rPr>
        <w:t>Chalavi, PhD</w:t>
      </w:r>
      <w:r w:rsidRPr="0025625E">
        <w:rPr>
          <w:rFonts w:ascii="Arial" w:hAnsi="Arial" w:cs="Arial"/>
          <w:b/>
          <w:color w:val="auto"/>
          <w:sz w:val="22"/>
          <w:szCs w:val="22"/>
        </w:rPr>
        <w:t xml:space="preserve"> </w:t>
      </w:r>
      <w:r w:rsidR="001F2781" w:rsidRPr="0025625E">
        <w:rPr>
          <w:rFonts w:ascii="Arial" w:hAnsi="Arial" w:cs="Arial"/>
          <w:b/>
          <w:color w:val="auto"/>
          <w:position w:val="12"/>
          <w:sz w:val="22"/>
          <w:szCs w:val="22"/>
        </w:rPr>
        <w:t>2,3</w:t>
      </w:r>
      <w:r w:rsidRPr="0025625E">
        <w:rPr>
          <w:rFonts w:ascii="Arial" w:hAnsi="Arial" w:cs="Arial"/>
          <w:b/>
          <w:color w:val="auto"/>
          <w:position w:val="12"/>
          <w:sz w:val="22"/>
          <w:szCs w:val="22"/>
        </w:rPr>
        <w:t>*</w:t>
      </w:r>
      <w:r w:rsidR="001F2781" w:rsidRPr="0025625E">
        <w:rPr>
          <w:rFonts w:ascii="Arial" w:hAnsi="Arial" w:cs="Arial"/>
          <w:b/>
          <w:color w:val="auto"/>
          <w:sz w:val="22"/>
          <w:szCs w:val="22"/>
        </w:rPr>
        <w:t xml:space="preserve">, </w:t>
      </w:r>
    </w:p>
    <w:p w14:paraId="218FC641" w14:textId="481A2F62" w:rsidR="00237D31" w:rsidRPr="0025625E" w:rsidRDefault="001F2781" w:rsidP="00237D31">
      <w:pPr>
        <w:pStyle w:val="Geenafstand"/>
        <w:spacing w:line="360" w:lineRule="auto"/>
        <w:jc w:val="center"/>
        <w:rPr>
          <w:rFonts w:ascii="Arial" w:hAnsi="Arial" w:cs="Arial"/>
          <w:b/>
          <w:color w:val="auto"/>
          <w:sz w:val="22"/>
          <w:szCs w:val="22"/>
        </w:rPr>
      </w:pPr>
      <w:r w:rsidRPr="0025625E">
        <w:rPr>
          <w:rFonts w:ascii="Arial" w:hAnsi="Arial" w:cs="Arial"/>
          <w:b/>
          <w:color w:val="auto"/>
          <w:sz w:val="22"/>
          <w:szCs w:val="22"/>
        </w:rPr>
        <w:t>Yolanda R. Schlumpf, PhD</w:t>
      </w:r>
      <w:r w:rsidR="00573805" w:rsidRPr="0025625E">
        <w:rPr>
          <w:rFonts w:ascii="Arial" w:hAnsi="Arial" w:cs="Arial"/>
          <w:b/>
          <w:color w:val="auto"/>
          <w:sz w:val="22"/>
          <w:szCs w:val="22"/>
        </w:rPr>
        <w:t xml:space="preserve"> </w:t>
      </w:r>
      <w:r w:rsidRPr="0025625E">
        <w:rPr>
          <w:rFonts w:ascii="Arial" w:hAnsi="Arial" w:cs="Arial"/>
          <w:b/>
          <w:color w:val="auto"/>
          <w:position w:val="12"/>
          <w:sz w:val="22"/>
          <w:szCs w:val="22"/>
        </w:rPr>
        <w:t>4</w:t>
      </w:r>
      <w:r w:rsidR="00CE7530" w:rsidRPr="0025625E">
        <w:rPr>
          <w:rFonts w:ascii="Arial" w:hAnsi="Arial" w:cs="Arial"/>
          <w:b/>
          <w:color w:val="auto"/>
          <w:position w:val="12"/>
          <w:sz w:val="22"/>
          <w:szCs w:val="22"/>
        </w:rPr>
        <w:t>,5</w:t>
      </w:r>
      <w:r w:rsidR="00573805" w:rsidRPr="0025625E">
        <w:rPr>
          <w:rFonts w:ascii="Arial" w:hAnsi="Arial" w:cs="Arial"/>
          <w:b/>
          <w:color w:val="auto"/>
          <w:position w:val="12"/>
          <w:sz w:val="22"/>
          <w:szCs w:val="22"/>
        </w:rPr>
        <w:t>*</w:t>
      </w:r>
      <w:r w:rsidR="00B034BD" w:rsidRPr="0025625E">
        <w:rPr>
          <w:rFonts w:ascii="Arial" w:hAnsi="Arial" w:cs="Arial"/>
          <w:b/>
          <w:color w:val="auto"/>
          <w:sz w:val="22"/>
          <w:szCs w:val="22"/>
        </w:rPr>
        <w:t>, Eline M. Vissia, PhD</w:t>
      </w:r>
      <w:r w:rsidR="00573805" w:rsidRPr="0025625E">
        <w:rPr>
          <w:rFonts w:ascii="Arial" w:hAnsi="Arial" w:cs="Arial"/>
          <w:b/>
          <w:color w:val="auto"/>
          <w:sz w:val="22"/>
          <w:szCs w:val="22"/>
        </w:rPr>
        <w:t xml:space="preserve"> </w:t>
      </w:r>
      <w:r w:rsidR="00573805" w:rsidRPr="0025625E">
        <w:rPr>
          <w:rFonts w:ascii="Arial" w:hAnsi="Arial" w:cs="Arial"/>
          <w:b/>
          <w:color w:val="auto"/>
          <w:position w:val="12"/>
          <w:sz w:val="22"/>
          <w:szCs w:val="22"/>
        </w:rPr>
        <w:t>2</w:t>
      </w:r>
      <w:r w:rsidR="00573805" w:rsidRPr="0025625E">
        <w:rPr>
          <w:rFonts w:ascii="Arial" w:hAnsi="Arial" w:cs="Arial"/>
          <w:b/>
          <w:color w:val="auto"/>
          <w:sz w:val="22"/>
          <w:szCs w:val="22"/>
        </w:rPr>
        <w:t xml:space="preserve">, </w:t>
      </w:r>
      <w:r w:rsidRPr="0025625E">
        <w:rPr>
          <w:rFonts w:ascii="Arial" w:hAnsi="Arial" w:cs="Arial"/>
          <w:b/>
          <w:color w:val="auto"/>
          <w:sz w:val="22"/>
          <w:szCs w:val="22"/>
        </w:rPr>
        <w:t xml:space="preserve">Ellert R.S. Nijenhuis, PhD </w:t>
      </w:r>
      <w:r w:rsidR="00CE7530" w:rsidRPr="0025625E">
        <w:rPr>
          <w:rFonts w:ascii="Arial" w:hAnsi="Arial" w:cs="Arial"/>
          <w:b/>
          <w:color w:val="auto"/>
          <w:position w:val="12"/>
          <w:sz w:val="22"/>
          <w:szCs w:val="22"/>
        </w:rPr>
        <w:t>5</w:t>
      </w:r>
      <w:r w:rsidRPr="0025625E">
        <w:rPr>
          <w:rFonts w:ascii="Arial" w:hAnsi="Arial" w:cs="Arial"/>
          <w:b/>
          <w:color w:val="auto"/>
          <w:sz w:val="22"/>
          <w:szCs w:val="22"/>
        </w:rPr>
        <w:t>,</w:t>
      </w:r>
    </w:p>
    <w:p w14:paraId="23B564B6" w14:textId="75796134" w:rsidR="00573805" w:rsidRPr="0025625E" w:rsidRDefault="00573805" w:rsidP="00237D31">
      <w:pPr>
        <w:pStyle w:val="Geenafstand"/>
        <w:spacing w:line="360" w:lineRule="auto"/>
        <w:jc w:val="center"/>
        <w:rPr>
          <w:rFonts w:ascii="Arial" w:hAnsi="Arial" w:cs="Arial"/>
          <w:b/>
          <w:sz w:val="22"/>
          <w:szCs w:val="22"/>
        </w:rPr>
      </w:pPr>
      <w:r w:rsidRPr="0025625E">
        <w:rPr>
          <w:rFonts w:ascii="Arial" w:hAnsi="Arial" w:cs="Arial"/>
          <w:b/>
          <w:color w:val="auto"/>
          <w:sz w:val="22"/>
          <w:szCs w:val="22"/>
        </w:rPr>
        <w:t>Lutz Jäncke, PhD</w:t>
      </w:r>
      <w:r w:rsidR="00EC0297" w:rsidRPr="0025625E">
        <w:rPr>
          <w:rFonts w:ascii="Arial" w:hAnsi="Arial" w:cs="Arial"/>
          <w:b/>
          <w:color w:val="auto"/>
          <w:position w:val="12"/>
          <w:sz w:val="22"/>
          <w:szCs w:val="22"/>
        </w:rPr>
        <w:t xml:space="preserve"> 4</w:t>
      </w:r>
      <w:r w:rsidRPr="0025625E">
        <w:rPr>
          <w:rFonts w:ascii="Arial" w:hAnsi="Arial" w:cs="Arial"/>
          <w:b/>
          <w:color w:val="auto"/>
          <w:position w:val="12"/>
          <w:sz w:val="22"/>
          <w:szCs w:val="22"/>
        </w:rPr>
        <w:t>,</w:t>
      </w:r>
      <w:r w:rsidR="008E6711" w:rsidRPr="0025625E">
        <w:rPr>
          <w:rFonts w:ascii="Arial" w:hAnsi="Arial" w:cs="Arial"/>
          <w:b/>
          <w:color w:val="auto"/>
          <w:position w:val="12"/>
          <w:sz w:val="22"/>
          <w:szCs w:val="22"/>
        </w:rPr>
        <w:t>6</w:t>
      </w:r>
      <w:r w:rsidRPr="0025625E">
        <w:rPr>
          <w:rFonts w:ascii="Arial" w:hAnsi="Arial" w:cs="Arial"/>
          <w:b/>
          <w:color w:val="auto"/>
          <w:sz w:val="22"/>
          <w:szCs w:val="22"/>
        </w:rPr>
        <w:t xml:space="preserve">, Dick J. Veltman, PhD </w:t>
      </w:r>
      <w:r w:rsidR="008E6711" w:rsidRPr="0025625E">
        <w:rPr>
          <w:rFonts w:ascii="Arial" w:hAnsi="Arial" w:cs="Arial"/>
          <w:b/>
          <w:color w:val="auto"/>
          <w:position w:val="12"/>
          <w:sz w:val="22"/>
          <w:szCs w:val="22"/>
        </w:rPr>
        <w:t>7</w:t>
      </w:r>
      <w:r w:rsidR="001F2781" w:rsidRPr="0025625E">
        <w:rPr>
          <w:rFonts w:ascii="Arial" w:hAnsi="Arial" w:cs="Arial"/>
          <w:b/>
          <w:color w:val="auto"/>
          <w:sz w:val="22"/>
          <w:szCs w:val="22"/>
        </w:rPr>
        <w:t>, Christine Ecker</w:t>
      </w:r>
      <w:r w:rsidR="00B034BD" w:rsidRPr="0025625E">
        <w:rPr>
          <w:rFonts w:ascii="Arial" w:hAnsi="Arial" w:cs="Arial"/>
          <w:b/>
          <w:color w:val="auto"/>
          <w:sz w:val="22"/>
          <w:szCs w:val="22"/>
        </w:rPr>
        <w:t>, PhD</w:t>
      </w:r>
      <w:r w:rsidR="001F2781" w:rsidRPr="0025625E">
        <w:rPr>
          <w:rFonts w:ascii="Arial" w:hAnsi="Arial" w:cs="Arial"/>
          <w:b/>
          <w:color w:val="auto"/>
          <w:sz w:val="22"/>
          <w:szCs w:val="22"/>
        </w:rPr>
        <w:t xml:space="preserve"> </w:t>
      </w:r>
      <w:r w:rsidR="00D2774B" w:rsidRPr="0025625E">
        <w:rPr>
          <w:rFonts w:ascii="Arial" w:hAnsi="Arial" w:cs="Arial"/>
          <w:b/>
          <w:color w:val="auto"/>
          <w:position w:val="12"/>
          <w:sz w:val="22"/>
          <w:szCs w:val="22"/>
        </w:rPr>
        <w:t>8</w:t>
      </w:r>
    </w:p>
    <w:p w14:paraId="7A3A36BB" w14:textId="77777777" w:rsidR="00573805" w:rsidRPr="009344B1" w:rsidRDefault="00573805" w:rsidP="00A263E5">
      <w:pPr>
        <w:spacing w:line="360" w:lineRule="auto"/>
        <w:rPr>
          <w:rFonts w:ascii="Arial" w:hAnsi="Arial" w:cs="Arial"/>
          <w:b/>
          <w:sz w:val="20"/>
          <w:szCs w:val="20"/>
        </w:rPr>
      </w:pPr>
      <w:r w:rsidRPr="009344B1">
        <w:rPr>
          <w:rFonts w:ascii="Arial" w:hAnsi="Arial" w:cs="Arial"/>
          <w:b/>
          <w:sz w:val="20"/>
          <w:szCs w:val="20"/>
        </w:rPr>
        <w:t xml:space="preserve">Affiliations: </w:t>
      </w:r>
    </w:p>
    <w:p w14:paraId="26528E43" w14:textId="046908E7" w:rsidR="00573805" w:rsidRPr="009344B1" w:rsidRDefault="00573805" w:rsidP="00A263E5">
      <w:pPr>
        <w:pStyle w:val="Geenafstand"/>
        <w:spacing w:line="360" w:lineRule="auto"/>
        <w:rPr>
          <w:rFonts w:ascii="Arial" w:hAnsi="Arial" w:cs="Arial"/>
          <w:sz w:val="20"/>
          <w:szCs w:val="20"/>
        </w:rPr>
      </w:pPr>
      <w:r w:rsidRPr="009344B1">
        <w:rPr>
          <w:rFonts w:ascii="Arial" w:hAnsi="Arial" w:cs="Arial"/>
          <w:position w:val="16"/>
          <w:sz w:val="20"/>
          <w:szCs w:val="20"/>
        </w:rPr>
        <w:t>1</w:t>
      </w:r>
      <w:r w:rsidRPr="009344B1">
        <w:rPr>
          <w:rFonts w:ascii="Arial" w:hAnsi="Arial" w:cs="Arial"/>
          <w:sz w:val="20"/>
          <w:szCs w:val="20"/>
        </w:rPr>
        <w:t xml:space="preserve"> Department of</w:t>
      </w:r>
      <w:r w:rsidR="00DC590C" w:rsidRPr="009344B1">
        <w:rPr>
          <w:rFonts w:ascii="Arial" w:hAnsi="Arial" w:cs="Arial"/>
          <w:sz w:val="20"/>
          <w:szCs w:val="20"/>
        </w:rPr>
        <w:t xml:space="preserve"> Psychological Medicine</w:t>
      </w:r>
      <w:r w:rsidRPr="009344B1">
        <w:rPr>
          <w:rFonts w:ascii="Arial" w:hAnsi="Arial" w:cs="Arial"/>
          <w:sz w:val="20"/>
          <w:szCs w:val="20"/>
        </w:rPr>
        <w:t>, Institute of Psychiatry</w:t>
      </w:r>
      <w:r w:rsidR="001F2781" w:rsidRPr="009344B1">
        <w:rPr>
          <w:rFonts w:ascii="Arial" w:hAnsi="Arial" w:cs="Arial"/>
          <w:sz w:val="20"/>
          <w:szCs w:val="20"/>
        </w:rPr>
        <w:t>, Psychology &amp; Neuroscience</w:t>
      </w:r>
      <w:r w:rsidRPr="009344B1">
        <w:rPr>
          <w:rFonts w:ascii="Arial" w:hAnsi="Arial" w:cs="Arial"/>
          <w:sz w:val="20"/>
          <w:szCs w:val="20"/>
        </w:rPr>
        <w:t>, King's College London, London SE5 8AF, United Kingdom</w:t>
      </w:r>
    </w:p>
    <w:p w14:paraId="482855C3" w14:textId="77777777" w:rsidR="00573805" w:rsidRPr="009344B1" w:rsidRDefault="00573805" w:rsidP="00A263E5">
      <w:pPr>
        <w:pStyle w:val="Geenafstand"/>
        <w:spacing w:line="360" w:lineRule="auto"/>
        <w:rPr>
          <w:rFonts w:ascii="Arial" w:hAnsi="Arial" w:cs="Arial"/>
          <w:color w:val="auto"/>
          <w:sz w:val="20"/>
          <w:szCs w:val="20"/>
        </w:rPr>
      </w:pPr>
      <w:r w:rsidRPr="009344B1">
        <w:rPr>
          <w:rFonts w:ascii="Arial" w:hAnsi="Arial" w:cs="Arial"/>
          <w:position w:val="16"/>
          <w:sz w:val="20"/>
          <w:szCs w:val="20"/>
        </w:rPr>
        <w:t>2</w:t>
      </w:r>
      <w:r w:rsidRPr="009344B1">
        <w:rPr>
          <w:rFonts w:ascii="Arial" w:hAnsi="Arial" w:cs="Arial"/>
          <w:sz w:val="20"/>
          <w:szCs w:val="20"/>
        </w:rPr>
        <w:t xml:space="preserve"> Department of Neuroscience, University Medical Center Groningen, University of </w:t>
      </w:r>
      <w:r w:rsidRPr="009344B1">
        <w:rPr>
          <w:rFonts w:ascii="Arial" w:hAnsi="Arial" w:cs="Arial"/>
          <w:color w:val="auto"/>
          <w:sz w:val="20"/>
          <w:szCs w:val="20"/>
        </w:rPr>
        <w:t xml:space="preserve">Groningen, </w:t>
      </w:r>
      <w:r w:rsidR="001F2781" w:rsidRPr="009344B1">
        <w:rPr>
          <w:rFonts w:ascii="Arial" w:eastAsia="DejaVu Sans Condensed" w:hAnsi="Arial" w:cs="Arial"/>
          <w:sz w:val="20"/>
          <w:szCs w:val="20"/>
        </w:rPr>
        <w:t xml:space="preserve">9713 AW </w:t>
      </w:r>
      <w:r w:rsidR="00526FDA" w:rsidRPr="009344B1">
        <w:rPr>
          <w:rFonts w:ascii="Arial" w:hAnsi="Arial" w:cs="Arial"/>
          <w:color w:val="auto"/>
          <w:sz w:val="20"/>
          <w:szCs w:val="20"/>
        </w:rPr>
        <w:t>Groningen, t</w:t>
      </w:r>
      <w:r w:rsidRPr="009344B1">
        <w:rPr>
          <w:rFonts w:ascii="Arial" w:hAnsi="Arial" w:cs="Arial"/>
          <w:color w:val="auto"/>
          <w:sz w:val="20"/>
          <w:szCs w:val="20"/>
        </w:rPr>
        <w:t>he Netherlands</w:t>
      </w:r>
    </w:p>
    <w:p w14:paraId="4E6F073C" w14:textId="77777777" w:rsidR="00573805" w:rsidRPr="009344B1" w:rsidRDefault="001F2781" w:rsidP="00A263E5">
      <w:pPr>
        <w:pStyle w:val="Geenafstand"/>
        <w:spacing w:line="360" w:lineRule="auto"/>
        <w:rPr>
          <w:rFonts w:ascii="Arial" w:hAnsi="Arial" w:cs="Arial"/>
          <w:sz w:val="20"/>
          <w:szCs w:val="20"/>
        </w:rPr>
      </w:pPr>
      <w:r w:rsidRPr="009344B1">
        <w:rPr>
          <w:rFonts w:ascii="Arial" w:hAnsi="Arial" w:cs="Arial"/>
          <w:color w:val="auto"/>
          <w:position w:val="16"/>
          <w:sz w:val="20"/>
          <w:szCs w:val="20"/>
        </w:rPr>
        <w:t>3</w:t>
      </w:r>
      <w:r w:rsidR="00573805" w:rsidRPr="009344B1">
        <w:rPr>
          <w:rFonts w:ascii="Arial" w:hAnsi="Arial" w:cs="Arial"/>
          <w:color w:val="auto"/>
          <w:sz w:val="20"/>
          <w:szCs w:val="20"/>
        </w:rPr>
        <w:t xml:space="preserve"> Research </w:t>
      </w:r>
      <w:r w:rsidR="00573805" w:rsidRPr="009344B1">
        <w:rPr>
          <w:rFonts w:ascii="Arial" w:hAnsi="Arial" w:cs="Arial"/>
          <w:sz w:val="20"/>
          <w:szCs w:val="20"/>
        </w:rPr>
        <w:t>Center for Movement Control and Neuroplasticity, Department of Biomedical Kinesiology</w:t>
      </w:r>
      <w:r w:rsidRPr="009344B1">
        <w:rPr>
          <w:rFonts w:ascii="Arial" w:hAnsi="Arial" w:cs="Arial"/>
          <w:sz w:val="20"/>
          <w:szCs w:val="20"/>
        </w:rPr>
        <w:t>,</w:t>
      </w:r>
      <w:r w:rsidR="00573805" w:rsidRPr="009344B1">
        <w:rPr>
          <w:rFonts w:ascii="Arial" w:hAnsi="Arial" w:cs="Arial"/>
          <w:sz w:val="20"/>
          <w:szCs w:val="20"/>
        </w:rPr>
        <w:t xml:space="preserve"> KU Leuven, Leuven, Belgium</w:t>
      </w:r>
    </w:p>
    <w:p w14:paraId="14756A22" w14:textId="77777777" w:rsidR="00573805" w:rsidRPr="009344B1" w:rsidRDefault="001F2781" w:rsidP="00A263E5">
      <w:pPr>
        <w:pStyle w:val="Geenafstand"/>
        <w:spacing w:line="360" w:lineRule="auto"/>
        <w:rPr>
          <w:rFonts w:ascii="Arial" w:hAnsi="Arial" w:cs="Arial"/>
          <w:sz w:val="20"/>
          <w:szCs w:val="20"/>
        </w:rPr>
      </w:pPr>
      <w:r w:rsidRPr="009344B1">
        <w:rPr>
          <w:rFonts w:ascii="Arial" w:hAnsi="Arial" w:cs="Arial"/>
          <w:position w:val="16"/>
          <w:sz w:val="20"/>
          <w:szCs w:val="20"/>
        </w:rPr>
        <w:t>4</w:t>
      </w:r>
      <w:r w:rsidR="00573805" w:rsidRPr="009344B1">
        <w:rPr>
          <w:rFonts w:ascii="Arial" w:hAnsi="Arial" w:cs="Arial"/>
          <w:sz w:val="20"/>
          <w:szCs w:val="20"/>
        </w:rPr>
        <w:t xml:space="preserve"> Division of Neuropsychology, Institute of Psychology, University of Zurich, Switzerland</w:t>
      </w:r>
    </w:p>
    <w:p w14:paraId="77754BF3" w14:textId="17E6A58C" w:rsidR="00CE7530" w:rsidRPr="009344B1" w:rsidRDefault="00CE7530" w:rsidP="00F52C50">
      <w:pPr>
        <w:spacing w:line="360" w:lineRule="auto"/>
        <w:rPr>
          <w:sz w:val="20"/>
          <w:szCs w:val="20"/>
        </w:rPr>
      </w:pPr>
      <w:r w:rsidRPr="009344B1">
        <w:rPr>
          <w:rFonts w:ascii="Arial" w:hAnsi="Arial" w:cs="Arial"/>
          <w:position w:val="16"/>
          <w:sz w:val="20"/>
          <w:szCs w:val="20"/>
          <w:lang w:val="nl-NL"/>
        </w:rPr>
        <w:t xml:space="preserve">5 </w:t>
      </w:r>
      <w:r w:rsidR="00E40AAD" w:rsidRPr="009344B1">
        <w:rPr>
          <w:rFonts w:ascii="Arial" w:eastAsia="Times New Roman" w:hAnsi="Arial" w:cs="Arial"/>
          <w:sz w:val="20"/>
          <w:szCs w:val="20"/>
          <w:lang w:val="de-DE"/>
        </w:rPr>
        <w:t>Clienia Littenheid AG, </w:t>
      </w:r>
      <w:r w:rsidR="00E40AAD" w:rsidRPr="009344B1">
        <w:rPr>
          <w:rFonts w:ascii="Arial" w:eastAsia="Times New Roman" w:hAnsi="Arial" w:cs="Arial"/>
          <w:sz w:val="20"/>
          <w:szCs w:val="20"/>
        </w:rPr>
        <w:t>Private Clinic for Psychiatry and Psychotherapy, Littenheid, Switzerland</w:t>
      </w:r>
    </w:p>
    <w:p w14:paraId="69EFB2EB" w14:textId="25B17C84" w:rsidR="00573805" w:rsidRPr="009344B1" w:rsidRDefault="00CE7530" w:rsidP="00A263E5">
      <w:pPr>
        <w:pStyle w:val="Geenafstand"/>
        <w:spacing w:line="360" w:lineRule="auto"/>
        <w:rPr>
          <w:rFonts w:ascii="Arial" w:hAnsi="Arial" w:cs="Arial"/>
          <w:sz w:val="20"/>
          <w:szCs w:val="20"/>
        </w:rPr>
      </w:pPr>
      <w:r w:rsidRPr="009344B1">
        <w:rPr>
          <w:rFonts w:ascii="Arial" w:hAnsi="Arial" w:cs="Arial"/>
          <w:position w:val="16"/>
          <w:sz w:val="20"/>
          <w:szCs w:val="20"/>
        </w:rPr>
        <w:t>6</w:t>
      </w:r>
      <w:r w:rsidR="00573805" w:rsidRPr="009344B1">
        <w:rPr>
          <w:rFonts w:ascii="Arial" w:hAnsi="Arial" w:cs="Arial"/>
          <w:sz w:val="20"/>
          <w:szCs w:val="20"/>
        </w:rPr>
        <w:t xml:space="preserve"> </w:t>
      </w:r>
      <w:r w:rsidR="008E6711" w:rsidRPr="009344B1">
        <w:rPr>
          <w:rFonts w:ascii="Arial" w:hAnsi="Arial" w:cs="Arial"/>
          <w:sz w:val="20"/>
          <w:szCs w:val="20"/>
        </w:rPr>
        <w:t>Research Unit for Plasticity and Learning of the Healthy Aging Brain, University of Zurich, Switzerland</w:t>
      </w:r>
    </w:p>
    <w:p w14:paraId="1CC11915" w14:textId="250292E5" w:rsidR="008E6711" w:rsidRPr="009344B1" w:rsidRDefault="00D2774B" w:rsidP="00A263E5">
      <w:pPr>
        <w:pStyle w:val="Geenafstand"/>
        <w:spacing w:line="360" w:lineRule="auto"/>
        <w:rPr>
          <w:rFonts w:ascii="Arial" w:hAnsi="Arial" w:cs="Arial"/>
          <w:sz w:val="20"/>
          <w:szCs w:val="20"/>
          <w:u w:color="1A1718"/>
        </w:rPr>
      </w:pPr>
      <w:r w:rsidRPr="009344B1">
        <w:rPr>
          <w:rFonts w:ascii="Arial" w:hAnsi="Arial" w:cs="Arial"/>
          <w:position w:val="16"/>
          <w:sz w:val="20"/>
          <w:szCs w:val="20"/>
        </w:rPr>
        <w:t xml:space="preserve">7 </w:t>
      </w:r>
      <w:r w:rsidR="008E6711" w:rsidRPr="009344B1">
        <w:rPr>
          <w:rFonts w:ascii="Arial" w:hAnsi="Arial" w:cs="Arial"/>
          <w:sz w:val="20"/>
          <w:szCs w:val="20"/>
          <w:u w:color="1A1718"/>
        </w:rPr>
        <w:t>Department of Psychiatry, VU University Medical Center, Amsterdam, The Netherlands</w:t>
      </w:r>
    </w:p>
    <w:p w14:paraId="13906B8C" w14:textId="77777777" w:rsidR="00D2774B" w:rsidRPr="009344B1" w:rsidRDefault="00526FDA" w:rsidP="00A263E5">
      <w:pPr>
        <w:pStyle w:val="Geenafstand"/>
        <w:spacing w:line="360" w:lineRule="auto"/>
        <w:rPr>
          <w:rFonts w:ascii="Arial" w:hAnsi="Arial" w:cs="Arial"/>
          <w:position w:val="16"/>
          <w:sz w:val="20"/>
          <w:szCs w:val="20"/>
        </w:rPr>
      </w:pPr>
      <w:r w:rsidRPr="009344B1">
        <w:rPr>
          <w:rFonts w:ascii="Arial" w:hAnsi="Arial" w:cs="Arial"/>
          <w:position w:val="16"/>
          <w:sz w:val="20"/>
          <w:szCs w:val="20"/>
        </w:rPr>
        <w:t>8</w:t>
      </w:r>
      <w:r w:rsidR="00D2774B" w:rsidRPr="009344B1">
        <w:rPr>
          <w:rFonts w:ascii="Arial" w:hAnsi="Arial" w:cs="Arial"/>
          <w:sz w:val="20"/>
          <w:szCs w:val="20"/>
        </w:rPr>
        <w:t xml:space="preserve"> </w:t>
      </w:r>
      <w:r w:rsidR="00D2774B" w:rsidRPr="009344B1">
        <w:rPr>
          <w:rFonts w:ascii="Arial" w:eastAsiaTheme="minorHAnsi" w:hAnsi="Arial" w:cs="Arial"/>
          <w:color w:val="2D2A2A"/>
          <w:sz w:val="20"/>
          <w:szCs w:val="20"/>
          <w:lang w:val="en-GB"/>
        </w:rPr>
        <w:t>Department of Child &amp; Adolescent Psychiatry, Psychosomatics and Psychotherapy</w:t>
      </w:r>
      <w:r w:rsidR="00D2774B" w:rsidRPr="009344B1">
        <w:rPr>
          <w:rFonts w:ascii="Arial" w:eastAsiaTheme="minorHAnsi" w:hAnsi="Arial" w:cs="Arial"/>
          <w:sz w:val="20"/>
          <w:szCs w:val="20"/>
          <w:lang w:val="en-GB"/>
        </w:rPr>
        <w:t xml:space="preserve">, </w:t>
      </w:r>
      <w:r w:rsidR="00D2774B" w:rsidRPr="009344B1">
        <w:rPr>
          <w:rFonts w:ascii="Arial" w:eastAsiaTheme="minorHAnsi" w:hAnsi="Arial" w:cs="Arial"/>
          <w:bCs/>
          <w:color w:val="2D2A2A"/>
          <w:sz w:val="20"/>
          <w:szCs w:val="20"/>
          <w:lang w:val="en-GB"/>
        </w:rPr>
        <w:t>University Hospital Frankfurt am Main</w:t>
      </w:r>
      <w:r w:rsidR="00D2774B" w:rsidRPr="009344B1">
        <w:rPr>
          <w:rFonts w:ascii="Arial" w:eastAsiaTheme="minorHAnsi" w:hAnsi="Arial" w:cs="Arial"/>
          <w:sz w:val="20"/>
          <w:szCs w:val="20"/>
          <w:lang w:val="en-GB"/>
        </w:rPr>
        <w:t>,</w:t>
      </w:r>
      <w:r w:rsidR="00D2774B" w:rsidRPr="009344B1">
        <w:rPr>
          <w:rFonts w:ascii="Arial" w:eastAsiaTheme="minorHAnsi" w:hAnsi="Arial" w:cs="Arial"/>
          <w:bCs/>
          <w:color w:val="2D2A2A"/>
          <w:sz w:val="20"/>
          <w:szCs w:val="20"/>
          <w:lang w:val="en-GB"/>
        </w:rPr>
        <w:t xml:space="preserve"> Germany</w:t>
      </w:r>
      <w:r w:rsidR="008D3058" w:rsidRPr="009344B1">
        <w:rPr>
          <w:rFonts w:ascii="Arial" w:eastAsiaTheme="minorHAnsi" w:hAnsi="Arial" w:cs="Arial"/>
          <w:bCs/>
          <w:color w:val="2D2A2A"/>
          <w:sz w:val="20"/>
          <w:szCs w:val="20"/>
          <w:lang w:val="en-GB"/>
        </w:rPr>
        <w:t xml:space="preserve"> &amp; Institute of Psychiatry, Psychology and Neuroscience</w:t>
      </w:r>
    </w:p>
    <w:p w14:paraId="267A8672" w14:textId="77777777" w:rsidR="001F2781" w:rsidRPr="009344B1" w:rsidRDefault="001F2781" w:rsidP="00A263E5">
      <w:pPr>
        <w:pStyle w:val="Geenafstand"/>
        <w:spacing w:line="360" w:lineRule="auto"/>
        <w:rPr>
          <w:rFonts w:ascii="Arial" w:hAnsi="Arial" w:cs="Arial"/>
          <w:sz w:val="20"/>
          <w:szCs w:val="20"/>
        </w:rPr>
      </w:pPr>
    </w:p>
    <w:p w14:paraId="0641F576" w14:textId="5EEF5251" w:rsidR="00573805" w:rsidRPr="00295F63" w:rsidRDefault="00573805" w:rsidP="009344B1">
      <w:pPr>
        <w:spacing w:line="360" w:lineRule="auto"/>
        <w:rPr>
          <w:rFonts w:ascii="Arial" w:hAnsi="Arial" w:cs="Arial"/>
          <w:sz w:val="22"/>
          <w:szCs w:val="22"/>
        </w:rPr>
      </w:pPr>
      <w:r w:rsidRPr="00295F63">
        <w:rPr>
          <w:rFonts w:ascii="Arial" w:hAnsi="Arial" w:cs="Arial"/>
          <w:position w:val="12"/>
          <w:sz w:val="22"/>
          <w:szCs w:val="22"/>
        </w:rPr>
        <w:t>§</w:t>
      </w:r>
      <w:r w:rsidRPr="00295F63">
        <w:rPr>
          <w:rFonts w:ascii="Arial" w:hAnsi="Arial" w:cs="Arial"/>
          <w:sz w:val="22"/>
          <w:szCs w:val="22"/>
        </w:rPr>
        <w:t xml:space="preserve"> Corresponding author</w:t>
      </w:r>
      <w:r w:rsidR="009344B1">
        <w:rPr>
          <w:rFonts w:ascii="Arial" w:hAnsi="Arial" w:cs="Arial"/>
          <w:sz w:val="22"/>
          <w:szCs w:val="22"/>
        </w:rPr>
        <w:t xml:space="preserve">; </w:t>
      </w:r>
      <w:r w:rsidRPr="00295F63">
        <w:rPr>
          <w:rFonts w:ascii="Arial" w:hAnsi="Arial" w:cs="Arial"/>
          <w:sz w:val="22"/>
          <w:szCs w:val="22"/>
        </w:rPr>
        <w:t>* These authors have contributed equally to the manuscript</w:t>
      </w:r>
    </w:p>
    <w:p w14:paraId="2B725BA0" w14:textId="77777777" w:rsidR="00573805" w:rsidRDefault="00573805" w:rsidP="00A263E5">
      <w:pPr>
        <w:spacing w:line="360" w:lineRule="auto"/>
        <w:rPr>
          <w:rFonts w:ascii="Arial" w:hAnsi="Arial" w:cs="Arial"/>
          <w:sz w:val="22"/>
          <w:szCs w:val="22"/>
        </w:rPr>
      </w:pPr>
      <w:r w:rsidRPr="00295F63">
        <w:rPr>
          <w:rFonts w:ascii="Arial" w:hAnsi="Arial" w:cs="Arial"/>
          <w:sz w:val="22"/>
          <w:szCs w:val="22"/>
        </w:rPr>
        <w:t xml:space="preserve"> </w:t>
      </w:r>
    </w:p>
    <w:p w14:paraId="5B67183B" w14:textId="75247A5D" w:rsidR="009344B1" w:rsidRPr="00B476C0" w:rsidRDefault="009344B1" w:rsidP="00A263E5">
      <w:pPr>
        <w:spacing w:line="360" w:lineRule="auto"/>
        <w:rPr>
          <w:rFonts w:ascii="Arial" w:hAnsi="Arial" w:cs="Arial"/>
          <w:b/>
          <w:sz w:val="22"/>
          <w:szCs w:val="22"/>
        </w:rPr>
      </w:pPr>
      <w:r w:rsidRPr="00B476C0">
        <w:rPr>
          <w:rFonts w:eastAsia="Times New Roman" w:cs="Times New Roman"/>
          <w:b/>
        </w:rPr>
        <w:t>This is the accepted version of the article, which will be published in final form at http://onlinelibrary.wiley.com/journal/10.1111/(ISSN)1600-0447/issues. This article may be used for non-commercial purposes in accordance with the Wiley Self-Archiving Policy  (https://authorservices.wiley.com/author-resources/Journal-Authors/licensing-open-access/open-access/self-archiving.html)</w:t>
      </w:r>
    </w:p>
    <w:p w14:paraId="1D197830" w14:textId="77777777" w:rsidR="009344B1" w:rsidRPr="00295F63" w:rsidRDefault="009344B1" w:rsidP="00A263E5">
      <w:pPr>
        <w:spacing w:line="360" w:lineRule="auto"/>
        <w:rPr>
          <w:rFonts w:ascii="Arial" w:hAnsi="Arial" w:cs="Arial"/>
          <w:sz w:val="22"/>
          <w:szCs w:val="22"/>
        </w:rPr>
      </w:pPr>
    </w:p>
    <w:p w14:paraId="5D31E5F6" w14:textId="535C8C37" w:rsidR="00860B18" w:rsidRPr="00295F63" w:rsidRDefault="00860B18" w:rsidP="00A263E5">
      <w:pPr>
        <w:spacing w:line="360" w:lineRule="auto"/>
        <w:rPr>
          <w:rFonts w:ascii="Arial" w:hAnsi="Arial" w:cs="Arial"/>
          <w:b/>
          <w:sz w:val="22"/>
          <w:szCs w:val="22"/>
        </w:rPr>
      </w:pPr>
      <w:r w:rsidRPr="00295F63">
        <w:rPr>
          <w:rFonts w:ascii="Arial" w:hAnsi="Arial" w:cs="Arial"/>
          <w:b/>
          <w:sz w:val="22"/>
          <w:szCs w:val="22"/>
        </w:rPr>
        <w:lastRenderedPageBreak/>
        <w:t xml:space="preserve">Abbreviated Title: </w:t>
      </w:r>
      <w:r w:rsidR="00AF6D98">
        <w:rPr>
          <w:rFonts w:ascii="Arial" w:hAnsi="Arial" w:cs="Arial"/>
          <w:b/>
          <w:sz w:val="22"/>
          <w:szCs w:val="22"/>
        </w:rPr>
        <w:t xml:space="preserve">Cortical morphology </w:t>
      </w:r>
      <w:r w:rsidRPr="00295F63">
        <w:rPr>
          <w:rFonts w:ascii="Arial" w:hAnsi="Arial" w:cs="Arial"/>
          <w:b/>
          <w:sz w:val="22"/>
          <w:szCs w:val="22"/>
        </w:rPr>
        <w:t>in DID</w:t>
      </w:r>
    </w:p>
    <w:p w14:paraId="5E4FEA3A" w14:textId="77777777" w:rsidR="00860B18" w:rsidRPr="00295F63" w:rsidRDefault="00860B18" w:rsidP="00A263E5">
      <w:pPr>
        <w:spacing w:line="360" w:lineRule="auto"/>
        <w:rPr>
          <w:rFonts w:ascii="Arial" w:hAnsi="Arial" w:cs="Arial"/>
          <w:sz w:val="22"/>
          <w:szCs w:val="22"/>
        </w:rPr>
      </w:pPr>
    </w:p>
    <w:p w14:paraId="3AD9A76F" w14:textId="21107633" w:rsidR="00573805" w:rsidRPr="00295F63" w:rsidRDefault="00573805" w:rsidP="00A263E5">
      <w:pPr>
        <w:pStyle w:val="Geenafstand"/>
        <w:spacing w:line="360" w:lineRule="auto"/>
        <w:rPr>
          <w:rFonts w:ascii="Arial" w:hAnsi="Arial" w:cs="Arial"/>
          <w:b/>
          <w:sz w:val="22"/>
          <w:szCs w:val="22"/>
        </w:rPr>
      </w:pPr>
      <w:r w:rsidRPr="00295F63">
        <w:rPr>
          <w:rFonts w:ascii="Arial" w:hAnsi="Arial" w:cs="Arial"/>
          <w:b/>
          <w:sz w:val="22"/>
          <w:szCs w:val="22"/>
        </w:rPr>
        <w:t>Correspondence to:</w:t>
      </w:r>
    </w:p>
    <w:p w14:paraId="4AF92A89" w14:textId="6E0537D0" w:rsidR="00573805" w:rsidRPr="00295F63" w:rsidRDefault="005E29F4" w:rsidP="00A263E5">
      <w:pPr>
        <w:pStyle w:val="Geenafstand"/>
        <w:spacing w:line="360" w:lineRule="auto"/>
        <w:rPr>
          <w:rFonts w:ascii="Arial" w:hAnsi="Arial" w:cs="Arial"/>
          <w:sz w:val="22"/>
          <w:szCs w:val="22"/>
        </w:rPr>
      </w:pPr>
      <w:r>
        <w:rPr>
          <w:rFonts w:ascii="Arial" w:hAnsi="Arial" w:cs="Arial"/>
          <w:sz w:val="22"/>
          <w:szCs w:val="22"/>
        </w:rPr>
        <w:t>Antje A.T.S.</w:t>
      </w:r>
      <w:r w:rsidR="00573805" w:rsidRPr="00295F63">
        <w:rPr>
          <w:rFonts w:ascii="Arial" w:hAnsi="Arial" w:cs="Arial"/>
          <w:sz w:val="22"/>
          <w:szCs w:val="22"/>
        </w:rPr>
        <w:t xml:space="preserve"> Reinders, PhD </w:t>
      </w:r>
    </w:p>
    <w:p w14:paraId="048DB933" w14:textId="4C069612" w:rsidR="00DC590C" w:rsidRDefault="00DC590C" w:rsidP="00A263E5">
      <w:pPr>
        <w:pStyle w:val="Geenafstand"/>
        <w:spacing w:line="360" w:lineRule="auto"/>
        <w:rPr>
          <w:rFonts w:ascii="Arial" w:hAnsi="Arial" w:cs="Arial"/>
          <w:sz w:val="22"/>
          <w:szCs w:val="22"/>
        </w:rPr>
      </w:pPr>
      <w:r>
        <w:rPr>
          <w:rFonts w:ascii="Arial" w:hAnsi="Arial" w:cs="Arial"/>
          <w:sz w:val="22"/>
          <w:szCs w:val="22"/>
        </w:rPr>
        <w:t>Department of Psychological Medicine</w:t>
      </w:r>
    </w:p>
    <w:p w14:paraId="1214EBEF" w14:textId="64FF57BC" w:rsidR="00573805" w:rsidRPr="00295F63" w:rsidRDefault="00573805" w:rsidP="00A263E5">
      <w:pPr>
        <w:pStyle w:val="Geenafstand"/>
        <w:spacing w:line="360" w:lineRule="auto"/>
        <w:rPr>
          <w:rFonts w:ascii="Arial" w:hAnsi="Arial" w:cs="Arial"/>
          <w:sz w:val="22"/>
          <w:szCs w:val="22"/>
        </w:rPr>
      </w:pPr>
      <w:r w:rsidRPr="00295F63">
        <w:rPr>
          <w:rFonts w:ascii="Arial" w:hAnsi="Arial" w:cs="Arial"/>
          <w:sz w:val="22"/>
          <w:szCs w:val="22"/>
        </w:rPr>
        <w:t>Institute of Psychiatry</w:t>
      </w:r>
      <w:r w:rsidR="005344B8" w:rsidRPr="00295F63">
        <w:rPr>
          <w:rFonts w:ascii="Arial" w:hAnsi="Arial" w:cs="Arial"/>
          <w:sz w:val="22"/>
          <w:szCs w:val="22"/>
        </w:rPr>
        <w:t>, Psychology and Neuroscience</w:t>
      </w:r>
      <w:r w:rsidRPr="00295F63">
        <w:rPr>
          <w:rFonts w:ascii="Arial" w:hAnsi="Arial" w:cs="Arial"/>
          <w:sz w:val="22"/>
          <w:szCs w:val="22"/>
        </w:rPr>
        <w:t xml:space="preserve"> (IoP</w:t>
      </w:r>
      <w:r w:rsidR="005344B8" w:rsidRPr="00295F63">
        <w:rPr>
          <w:rFonts w:ascii="Arial" w:hAnsi="Arial" w:cs="Arial"/>
          <w:sz w:val="22"/>
          <w:szCs w:val="22"/>
        </w:rPr>
        <w:t>PN</w:t>
      </w:r>
      <w:r w:rsidRPr="00295F63">
        <w:rPr>
          <w:rFonts w:ascii="Arial" w:hAnsi="Arial" w:cs="Arial"/>
          <w:sz w:val="22"/>
          <w:szCs w:val="22"/>
        </w:rPr>
        <w:t xml:space="preserve">) </w:t>
      </w:r>
    </w:p>
    <w:p w14:paraId="47ABE88B" w14:textId="77777777" w:rsidR="00573805" w:rsidRPr="00295F63" w:rsidRDefault="00573805" w:rsidP="00A263E5">
      <w:pPr>
        <w:pStyle w:val="Geenafstand"/>
        <w:spacing w:line="360" w:lineRule="auto"/>
        <w:rPr>
          <w:rFonts w:ascii="Arial" w:hAnsi="Arial" w:cs="Arial"/>
          <w:sz w:val="22"/>
          <w:szCs w:val="22"/>
        </w:rPr>
      </w:pPr>
      <w:r w:rsidRPr="00295F63">
        <w:rPr>
          <w:rFonts w:ascii="Arial" w:hAnsi="Arial" w:cs="Arial"/>
          <w:sz w:val="22"/>
          <w:szCs w:val="22"/>
        </w:rPr>
        <w:t>King's College London</w:t>
      </w:r>
    </w:p>
    <w:p w14:paraId="29050998" w14:textId="12AE1495" w:rsidR="00573805" w:rsidRPr="00295F63" w:rsidRDefault="00573805" w:rsidP="00A263E5">
      <w:pPr>
        <w:pStyle w:val="Geenafstand"/>
        <w:spacing w:line="360" w:lineRule="auto"/>
        <w:rPr>
          <w:rFonts w:ascii="Arial" w:hAnsi="Arial" w:cs="Arial"/>
          <w:sz w:val="22"/>
          <w:szCs w:val="22"/>
        </w:rPr>
      </w:pPr>
      <w:r w:rsidRPr="00295F63">
        <w:rPr>
          <w:rFonts w:ascii="Arial" w:hAnsi="Arial" w:cs="Arial"/>
          <w:sz w:val="22"/>
          <w:szCs w:val="22"/>
        </w:rPr>
        <w:t xml:space="preserve">De Crespigny Park </w:t>
      </w:r>
    </w:p>
    <w:p w14:paraId="414DD1AD" w14:textId="77777777" w:rsidR="00573805" w:rsidRPr="00295F63" w:rsidRDefault="00573805" w:rsidP="00A263E5">
      <w:pPr>
        <w:pStyle w:val="Geenafstand"/>
        <w:spacing w:line="360" w:lineRule="auto"/>
        <w:rPr>
          <w:rFonts w:ascii="Arial" w:hAnsi="Arial" w:cs="Arial"/>
          <w:sz w:val="22"/>
          <w:szCs w:val="22"/>
        </w:rPr>
      </w:pPr>
      <w:r w:rsidRPr="00295F63">
        <w:rPr>
          <w:rFonts w:ascii="Arial" w:hAnsi="Arial" w:cs="Arial"/>
          <w:sz w:val="22"/>
          <w:szCs w:val="22"/>
        </w:rPr>
        <w:t xml:space="preserve">London SE5 8AF </w:t>
      </w:r>
    </w:p>
    <w:p w14:paraId="6171C24C" w14:textId="77777777" w:rsidR="00573805" w:rsidRPr="00295F63" w:rsidRDefault="00573805" w:rsidP="00A263E5">
      <w:pPr>
        <w:pStyle w:val="Geenafstand"/>
        <w:spacing w:line="360" w:lineRule="auto"/>
        <w:rPr>
          <w:rFonts w:ascii="Arial" w:hAnsi="Arial" w:cs="Arial"/>
          <w:sz w:val="22"/>
          <w:szCs w:val="22"/>
        </w:rPr>
      </w:pPr>
      <w:r w:rsidRPr="00295F63">
        <w:rPr>
          <w:rFonts w:ascii="Arial" w:hAnsi="Arial" w:cs="Arial"/>
          <w:sz w:val="22"/>
          <w:szCs w:val="22"/>
        </w:rPr>
        <w:t xml:space="preserve">United Kingdom </w:t>
      </w:r>
    </w:p>
    <w:p w14:paraId="6437BF64" w14:textId="77777777" w:rsidR="00573805" w:rsidRPr="00295F63" w:rsidRDefault="00573805" w:rsidP="00A263E5">
      <w:pPr>
        <w:pStyle w:val="Geenafstand"/>
        <w:spacing w:line="360" w:lineRule="auto"/>
        <w:rPr>
          <w:rFonts w:ascii="Arial" w:hAnsi="Arial" w:cs="Arial"/>
          <w:sz w:val="22"/>
          <w:szCs w:val="22"/>
        </w:rPr>
      </w:pPr>
      <w:r w:rsidRPr="00295F63">
        <w:rPr>
          <w:rFonts w:ascii="Arial" w:hAnsi="Arial" w:cs="Arial"/>
          <w:sz w:val="22"/>
          <w:szCs w:val="22"/>
        </w:rPr>
        <w:t xml:space="preserve">E-mail: </w:t>
      </w:r>
      <w:r w:rsidR="00AE79A8" w:rsidRPr="00295F63">
        <w:rPr>
          <w:rFonts w:ascii="Arial" w:hAnsi="Arial" w:cs="Arial"/>
          <w:sz w:val="22"/>
          <w:szCs w:val="22"/>
        </w:rPr>
        <w:t xml:space="preserve">a.a.t.s.reinders@gmail.com; </w:t>
      </w:r>
      <w:r w:rsidRPr="00295F63">
        <w:rPr>
          <w:rFonts w:ascii="Arial" w:hAnsi="Arial" w:cs="Arial"/>
          <w:sz w:val="22"/>
          <w:szCs w:val="22"/>
        </w:rPr>
        <w:t>a.a.t.s.reinders@kcl.ac.uk</w:t>
      </w:r>
    </w:p>
    <w:p w14:paraId="2A11D241" w14:textId="1E0776E7" w:rsidR="001E6C93" w:rsidRPr="005866C9" w:rsidRDefault="001E6C93" w:rsidP="00D035FD">
      <w:pPr>
        <w:spacing w:line="360" w:lineRule="auto"/>
        <w:rPr>
          <w:rFonts w:ascii="Arial" w:hAnsi="Arial" w:cs="Arial"/>
          <w:color w:val="000000"/>
          <w:sz w:val="22"/>
          <w:szCs w:val="22"/>
        </w:rPr>
      </w:pPr>
    </w:p>
    <w:p w14:paraId="2D763570" w14:textId="07868811" w:rsidR="00B329B2" w:rsidRPr="00B329B2" w:rsidRDefault="00B329B2" w:rsidP="00A263E5">
      <w:pPr>
        <w:spacing w:line="360" w:lineRule="auto"/>
        <w:rPr>
          <w:rFonts w:ascii="Arial" w:hAnsi="Arial" w:cs="Arial"/>
          <w:b/>
          <w:sz w:val="22"/>
          <w:szCs w:val="22"/>
          <w:lang w:val="en-GB"/>
        </w:rPr>
      </w:pPr>
      <w:r w:rsidRPr="00B329B2">
        <w:rPr>
          <w:rFonts w:ascii="Arial" w:hAnsi="Arial" w:cs="Arial"/>
          <w:b/>
          <w:sz w:val="22"/>
          <w:szCs w:val="22"/>
          <w:lang w:val="en-GB"/>
        </w:rPr>
        <w:t>Two Figures</w:t>
      </w:r>
    </w:p>
    <w:p w14:paraId="58A014BA" w14:textId="3B585E30" w:rsidR="00B329B2" w:rsidRPr="00B329B2" w:rsidRDefault="00E23B97" w:rsidP="00A263E5">
      <w:pPr>
        <w:spacing w:line="360" w:lineRule="auto"/>
        <w:rPr>
          <w:rFonts w:ascii="Arial" w:hAnsi="Arial" w:cs="Arial"/>
          <w:b/>
          <w:sz w:val="22"/>
          <w:szCs w:val="22"/>
          <w:lang w:val="en-GB"/>
        </w:rPr>
      </w:pPr>
      <w:r>
        <w:rPr>
          <w:rFonts w:ascii="Arial" w:hAnsi="Arial" w:cs="Arial"/>
          <w:b/>
          <w:sz w:val="22"/>
          <w:szCs w:val="22"/>
          <w:lang w:val="en-GB"/>
        </w:rPr>
        <w:t>Four</w:t>
      </w:r>
      <w:r w:rsidR="00B329B2" w:rsidRPr="00B329B2">
        <w:rPr>
          <w:rFonts w:ascii="Arial" w:hAnsi="Arial" w:cs="Arial"/>
          <w:b/>
          <w:sz w:val="22"/>
          <w:szCs w:val="22"/>
          <w:lang w:val="en-GB"/>
        </w:rPr>
        <w:t xml:space="preserve"> Tables</w:t>
      </w:r>
    </w:p>
    <w:p w14:paraId="0F5FF6A6" w14:textId="47CDF4C5" w:rsidR="004673ED" w:rsidRDefault="00B329B2" w:rsidP="00A263E5">
      <w:pPr>
        <w:spacing w:line="360" w:lineRule="auto"/>
        <w:rPr>
          <w:rFonts w:ascii="Arial" w:hAnsi="Arial" w:cs="Arial"/>
          <w:b/>
          <w:sz w:val="22"/>
          <w:szCs w:val="22"/>
          <w:lang w:val="en-GB"/>
        </w:rPr>
      </w:pPr>
      <w:r w:rsidRPr="00B329B2">
        <w:rPr>
          <w:rFonts w:ascii="Arial" w:hAnsi="Arial" w:cs="Arial"/>
          <w:b/>
          <w:sz w:val="22"/>
          <w:szCs w:val="22"/>
          <w:lang w:val="en-GB"/>
        </w:rPr>
        <w:t>On</w:t>
      </w:r>
      <w:r w:rsidR="00E02E66">
        <w:rPr>
          <w:rFonts w:ascii="Arial" w:hAnsi="Arial" w:cs="Arial"/>
          <w:b/>
          <w:sz w:val="22"/>
          <w:szCs w:val="22"/>
          <w:lang w:val="en-GB"/>
        </w:rPr>
        <w:t>e Supplementary Material</w:t>
      </w:r>
      <w:r w:rsidR="00A63694">
        <w:rPr>
          <w:rFonts w:ascii="Arial" w:hAnsi="Arial" w:cs="Arial"/>
          <w:b/>
          <w:sz w:val="22"/>
          <w:szCs w:val="22"/>
          <w:lang w:val="en-GB"/>
        </w:rPr>
        <w:t>, with two Tables and two Figures</w:t>
      </w:r>
    </w:p>
    <w:p w14:paraId="024E43AD" w14:textId="77777777" w:rsidR="004673ED" w:rsidRDefault="004673ED" w:rsidP="00A263E5">
      <w:pPr>
        <w:spacing w:line="360" w:lineRule="auto"/>
        <w:rPr>
          <w:rFonts w:ascii="Arial" w:hAnsi="Arial" w:cs="Arial"/>
          <w:b/>
          <w:sz w:val="22"/>
          <w:szCs w:val="22"/>
          <w:lang w:val="en-GB"/>
        </w:rPr>
      </w:pPr>
    </w:p>
    <w:p w14:paraId="4E15E1EA" w14:textId="77777777" w:rsidR="0062192A" w:rsidRDefault="004673ED" w:rsidP="00A263E5">
      <w:pPr>
        <w:spacing w:line="360" w:lineRule="auto"/>
        <w:rPr>
          <w:rFonts w:ascii="Arial" w:hAnsi="Arial" w:cs="Arial"/>
          <w:b/>
          <w:sz w:val="22"/>
          <w:szCs w:val="22"/>
          <w:lang w:val="en-GB"/>
        </w:rPr>
      </w:pPr>
      <w:r>
        <w:rPr>
          <w:rFonts w:ascii="Arial" w:hAnsi="Arial" w:cs="Arial"/>
          <w:b/>
          <w:sz w:val="22"/>
          <w:szCs w:val="22"/>
          <w:lang w:val="en-GB"/>
        </w:rPr>
        <w:t>Ke</w:t>
      </w:r>
      <w:r w:rsidR="00AC7C86">
        <w:rPr>
          <w:rFonts w:ascii="Arial" w:hAnsi="Arial" w:cs="Arial"/>
          <w:b/>
          <w:sz w:val="22"/>
          <w:szCs w:val="22"/>
          <w:lang w:val="en-GB"/>
        </w:rPr>
        <w:t>ywords: P</w:t>
      </w:r>
      <w:r w:rsidR="00F02A5B">
        <w:rPr>
          <w:rFonts w:ascii="Arial" w:hAnsi="Arial" w:cs="Arial"/>
          <w:b/>
          <w:sz w:val="22"/>
          <w:szCs w:val="22"/>
          <w:lang w:val="en-GB"/>
        </w:rPr>
        <w:t xml:space="preserve">osttraumatic stress disorder; </w:t>
      </w:r>
      <w:r w:rsidR="00AC7C86">
        <w:rPr>
          <w:rFonts w:ascii="Arial" w:hAnsi="Arial" w:cs="Arial"/>
          <w:b/>
          <w:sz w:val="22"/>
          <w:szCs w:val="22"/>
          <w:lang w:val="en-GB"/>
        </w:rPr>
        <w:t>childhood trauma; dissociation</w:t>
      </w:r>
      <w:r w:rsidR="00DA33AD">
        <w:rPr>
          <w:rFonts w:ascii="Arial" w:hAnsi="Arial" w:cs="Arial"/>
          <w:b/>
          <w:sz w:val="22"/>
          <w:szCs w:val="22"/>
          <w:lang w:val="en-GB"/>
        </w:rPr>
        <w:t xml:space="preserve">; MRI; neuroimaging </w:t>
      </w:r>
    </w:p>
    <w:p w14:paraId="6F007177" w14:textId="77777777" w:rsidR="0062192A" w:rsidRDefault="0062192A" w:rsidP="00A263E5">
      <w:pPr>
        <w:spacing w:line="360" w:lineRule="auto"/>
        <w:rPr>
          <w:rFonts w:ascii="Arial" w:hAnsi="Arial" w:cs="Arial"/>
          <w:b/>
          <w:sz w:val="22"/>
          <w:szCs w:val="22"/>
          <w:lang w:val="en-GB"/>
        </w:rPr>
      </w:pPr>
    </w:p>
    <w:p w14:paraId="7F0DD5B1" w14:textId="77777777" w:rsidR="0062192A" w:rsidRDefault="0062192A" w:rsidP="00A263E5">
      <w:pPr>
        <w:spacing w:line="360" w:lineRule="auto"/>
        <w:rPr>
          <w:rFonts w:ascii="Arial" w:hAnsi="Arial" w:cs="Arial"/>
          <w:b/>
          <w:sz w:val="22"/>
          <w:szCs w:val="22"/>
          <w:lang w:val="en-GB"/>
        </w:rPr>
      </w:pPr>
    </w:p>
    <w:p w14:paraId="50CBE40E" w14:textId="77777777" w:rsidR="0062192A" w:rsidRDefault="0062192A" w:rsidP="00A263E5">
      <w:pPr>
        <w:spacing w:line="360" w:lineRule="auto"/>
        <w:rPr>
          <w:rFonts w:ascii="Arial" w:hAnsi="Arial" w:cs="Arial"/>
          <w:b/>
          <w:sz w:val="22"/>
          <w:szCs w:val="22"/>
          <w:lang w:val="en-GB"/>
        </w:rPr>
      </w:pPr>
    </w:p>
    <w:p w14:paraId="38F8D78F" w14:textId="77777777" w:rsidR="0062192A" w:rsidRDefault="0062192A" w:rsidP="00A263E5">
      <w:pPr>
        <w:spacing w:line="360" w:lineRule="auto"/>
        <w:rPr>
          <w:rFonts w:ascii="Arial" w:hAnsi="Arial" w:cs="Arial"/>
          <w:b/>
          <w:sz w:val="22"/>
          <w:szCs w:val="22"/>
          <w:lang w:val="en-GB"/>
        </w:rPr>
      </w:pPr>
    </w:p>
    <w:p w14:paraId="1D85D84D" w14:textId="0E93E93A" w:rsidR="00EC2534" w:rsidRPr="00D645CF" w:rsidRDefault="00F41C59" w:rsidP="00A263E5">
      <w:pPr>
        <w:spacing w:line="360" w:lineRule="auto"/>
        <w:rPr>
          <w:rFonts w:ascii="Arial" w:hAnsi="Arial" w:cs="Arial"/>
          <w:b/>
          <w:sz w:val="22"/>
          <w:szCs w:val="22"/>
          <w:lang w:val="en-GB"/>
        </w:rPr>
      </w:pPr>
      <w:r w:rsidRPr="00B329B2">
        <w:rPr>
          <w:rFonts w:ascii="Arial" w:hAnsi="Arial" w:cs="Arial"/>
          <w:b/>
          <w:sz w:val="22"/>
          <w:szCs w:val="22"/>
          <w:lang w:val="en-GB"/>
        </w:rPr>
        <w:br w:type="column"/>
      </w:r>
      <w:r w:rsidR="0036229C" w:rsidRPr="00295F63">
        <w:rPr>
          <w:rFonts w:ascii="Arial" w:hAnsi="Arial" w:cs="Arial"/>
          <w:b/>
          <w:sz w:val="22"/>
          <w:szCs w:val="22"/>
          <w:lang w:val="en-GB"/>
        </w:rPr>
        <w:lastRenderedPageBreak/>
        <w:t>ABSTRACT</w:t>
      </w:r>
    </w:p>
    <w:p w14:paraId="7C6104AF" w14:textId="3EF84F6C" w:rsidR="00D035FD" w:rsidRPr="008C3C74" w:rsidRDefault="006B46C8" w:rsidP="00D035FD">
      <w:pPr>
        <w:spacing w:line="360" w:lineRule="auto"/>
        <w:rPr>
          <w:rFonts w:ascii="Arial" w:eastAsiaTheme="minorHAnsi" w:hAnsi="Arial" w:cs="Arial"/>
          <w:bCs/>
          <w:sz w:val="22"/>
          <w:szCs w:val="22"/>
          <w:lang w:val="en-GB"/>
        </w:rPr>
      </w:pPr>
      <w:r>
        <w:rPr>
          <w:rFonts w:ascii="Arial" w:eastAsiaTheme="minorHAnsi" w:hAnsi="Arial" w:cs="Arial"/>
          <w:b/>
          <w:bCs/>
          <w:sz w:val="22"/>
          <w:szCs w:val="22"/>
          <w:lang w:val="en-GB"/>
        </w:rPr>
        <w:t>Objective</w:t>
      </w:r>
      <w:r w:rsidR="00D035FD" w:rsidRPr="00D035FD">
        <w:rPr>
          <w:rFonts w:ascii="Arial" w:eastAsiaTheme="minorHAnsi" w:hAnsi="Arial" w:cs="Arial"/>
          <w:b/>
          <w:bCs/>
          <w:sz w:val="22"/>
          <w:szCs w:val="22"/>
          <w:lang w:val="en-GB"/>
        </w:rPr>
        <w:t>:</w:t>
      </w:r>
      <w:r w:rsidR="00F26359">
        <w:rPr>
          <w:rFonts w:ascii="Arial" w:eastAsiaTheme="minorHAnsi" w:hAnsi="Arial" w:cs="Arial"/>
          <w:bCs/>
          <w:sz w:val="22"/>
          <w:szCs w:val="22"/>
          <w:lang w:val="en-GB"/>
        </w:rPr>
        <w:t xml:space="preserve"> </w:t>
      </w:r>
      <w:r w:rsidR="00471A96">
        <w:rPr>
          <w:rFonts w:ascii="Arial" w:eastAsiaTheme="minorHAnsi" w:hAnsi="Arial" w:cs="Arial"/>
          <w:bCs/>
          <w:sz w:val="22"/>
          <w:szCs w:val="22"/>
          <w:lang w:val="en-GB"/>
        </w:rPr>
        <w:t xml:space="preserve">To </w:t>
      </w:r>
      <w:r w:rsidR="00D035FD" w:rsidRPr="00F26359">
        <w:rPr>
          <w:rFonts w:ascii="Arial" w:hAnsi="Arial" w:cs="Arial"/>
          <w:color w:val="000000"/>
          <w:sz w:val="22"/>
          <w:szCs w:val="22"/>
        </w:rPr>
        <w:t xml:space="preserve">examine </w:t>
      </w:r>
      <w:r w:rsidR="00F26359" w:rsidRPr="008C3C74">
        <w:rPr>
          <w:rFonts w:ascii="Arial" w:hAnsi="Arial" w:cs="Arial"/>
          <w:color w:val="000000"/>
          <w:sz w:val="22"/>
          <w:szCs w:val="22"/>
        </w:rPr>
        <w:t>the two constitutes of</w:t>
      </w:r>
      <w:r w:rsidR="00F26359">
        <w:rPr>
          <w:rFonts w:ascii="Arial" w:hAnsi="Arial" w:cs="Arial"/>
          <w:color w:val="000000"/>
          <w:sz w:val="22"/>
          <w:szCs w:val="22"/>
        </w:rPr>
        <w:t xml:space="preserve"> </w:t>
      </w:r>
      <w:r w:rsidR="00D035FD">
        <w:rPr>
          <w:rFonts w:ascii="Arial" w:hAnsi="Arial" w:cs="Arial"/>
          <w:color w:val="000000"/>
          <w:sz w:val="22"/>
          <w:szCs w:val="22"/>
        </w:rPr>
        <w:t>cortical volume</w:t>
      </w:r>
      <w:r w:rsidR="00F26359">
        <w:rPr>
          <w:rFonts w:ascii="Arial" w:hAnsi="Arial" w:cs="Arial"/>
          <w:color w:val="000000"/>
          <w:sz w:val="22"/>
          <w:szCs w:val="22"/>
        </w:rPr>
        <w:t>, that is,</w:t>
      </w:r>
      <w:r w:rsidR="00471A96">
        <w:rPr>
          <w:rFonts w:ascii="Arial" w:hAnsi="Arial" w:cs="Arial"/>
          <w:color w:val="000000"/>
          <w:sz w:val="22"/>
          <w:szCs w:val="22"/>
        </w:rPr>
        <w:t xml:space="preserve"> </w:t>
      </w:r>
      <w:r w:rsidR="00D035FD">
        <w:rPr>
          <w:rFonts w:ascii="Arial" w:hAnsi="Arial" w:cs="Arial"/>
          <w:color w:val="000000"/>
          <w:sz w:val="22"/>
          <w:szCs w:val="22"/>
        </w:rPr>
        <w:t>cortical thickness and surface area</w:t>
      </w:r>
      <w:r w:rsidR="00F26359">
        <w:rPr>
          <w:rFonts w:ascii="Arial" w:hAnsi="Arial" w:cs="Arial"/>
          <w:color w:val="000000"/>
          <w:sz w:val="22"/>
          <w:szCs w:val="22"/>
        </w:rPr>
        <w:t>,</w:t>
      </w:r>
      <w:r w:rsidR="00471A96">
        <w:rPr>
          <w:rFonts w:ascii="Arial" w:hAnsi="Arial" w:cs="Arial"/>
          <w:color w:val="000000"/>
          <w:sz w:val="22"/>
          <w:szCs w:val="22"/>
        </w:rPr>
        <w:t xml:space="preserve"> in individuals with dissociative identity disorder (DID)</w:t>
      </w:r>
      <w:r w:rsidR="003B721C">
        <w:rPr>
          <w:rFonts w:ascii="Arial" w:hAnsi="Arial" w:cs="Arial"/>
          <w:color w:val="000000"/>
          <w:sz w:val="22"/>
          <w:szCs w:val="22"/>
        </w:rPr>
        <w:t xml:space="preserve"> </w:t>
      </w:r>
      <w:r w:rsidR="00F26359" w:rsidRPr="008C3C74">
        <w:rPr>
          <w:rFonts w:ascii="Arial" w:eastAsiaTheme="minorHAnsi" w:hAnsi="Arial" w:cs="Arial"/>
          <w:bCs/>
          <w:sz w:val="22"/>
          <w:szCs w:val="22"/>
          <w:lang w:val="en-GB"/>
        </w:rPr>
        <w:t>with the view of gaining</w:t>
      </w:r>
      <w:r w:rsidR="00F26359" w:rsidRPr="000E2899">
        <w:rPr>
          <w:rFonts w:ascii="Arial" w:hAnsi="Arial" w:cs="Arial"/>
          <w:color w:val="000000"/>
        </w:rPr>
        <w:t xml:space="preserve"> </w:t>
      </w:r>
      <w:r w:rsidR="00D035FD">
        <w:rPr>
          <w:rFonts w:ascii="Arial" w:hAnsi="Arial" w:cs="Arial"/>
          <w:color w:val="000000"/>
          <w:sz w:val="22"/>
          <w:szCs w:val="22"/>
        </w:rPr>
        <w:t>important</w:t>
      </w:r>
      <w:r w:rsidR="00F26359">
        <w:rPr>
          <w:rFonts w:ascii="Arial" w:hAnsi="Arial" w:cs="Arial"/>
          <w:color w:val="000000"/>
          <w:sz w:val="22"/>
          <w:szCs w:val="22"/>
        </w:rPr>
        <w:t xml:space="preserve"> novel insights</w:t>
      </w:r>
      <w:r w:rsidR="00D035FD">
        <w:rPr>
          <w:rFonts w:ascii="Arial" w:hAnsi="Arial" w:cs="Arial"/>
          <w:color w:val="000000"/>
          <w:sz w:val="22"/>
          <w:szCs w:val="22"/>
        </w:rPr>
        <w:t xml:space="preserve"> </w:t>
      </w:r>
      <w:r w:rsidR="00F26359">
        <w:rPr>
          <w:rFonts w:ascii="Arial" w:hAnsi="Arial" w:cs="Arial"/>
          <w:color w:val="000000"/>
          <w:sz w:val="22"/>
          <w:szCs w:val="22"/>
        </w:rPr>
        <w:t>int</w:t>
      </w:r>
      <w:r w:rsidR="00D035FD" w:rsidRPr="00295F63">
        <w:rPr>
          <w:rFonts w:ascii="Arial" w:hAnsi="Arial" w:cs="Arial"/>
          <w:color w:val="000000"/>
          <w:sz w:val="22"/>
          <w:szCs w:val="22"/>
        </w:rPr>
        <w:t xml:space="preserve">o </w:t>
      </w:r>
      <w:r w:rsidR="00F26359">
        <w:rPr>
          <w:rFonts w:ascii="Arial" w:hAnsi="Arial" w:cs="Arial"/>
          <w:color w:val="000000"/>
          <w:sz w:val="22"/>
          <w:szCs w:val="22"/>
        </w:rPr>
        <w:t xml:space="preserve">the </w:t>
      </w:r>
      <w:r w:rsidR="00D035FD">
        <w:rPr>
          <w:rFonts w:ascii="Arial" w:hAnsi="Arial" w:cs="Arial"/>
          <w:color w:val="000000"/>
          <w:sz w:val="22"/>
          <w:szCs w:val="22"/>
        </w:rPr>
        <w:t xml:space="preserve">underlying </w:t>
      </w:r>
      <w:r w:rsidR="00D035FD" w:rsidRPr="00295F63">
        <w:rPr>
          <w:rFonts w:ascii="Arial" w:hAnsi="Arial" w:cs="Arial"/>
          <w:color w:val="000000"/>
          <w:sz w:val="22"/>
          <w:szCs w:val="22"/>
        </w:rPr>
        <w:t>neurobiological mechanisms</w:t>
      </w:r>
      <w:r w:rsidR="00F26359">
        <w:rPr>
          <w:rFonts w:ascii="Arial" w:hAnsi="Arial" w:cs="Arial"/>
          <w:color w:val="000000"/>
          <w:sz w:val="22"/>
          <w:szCs w:val="22"/>
        </w:rPr>
        <w:t xml:space="preserve"> mediating DID</w:t>
      </w:r>
      <w:r w:rsidR="000672D6">
        <w:rPr>
          <w:rFonts w:ascii="Arial" w:hAnsi="Arial" w:cs="Arial"/>
          <w:color w:val="000000"/>
          <w:sz w:val="22"/>
          <w:szCs w:val="22"/>
        </w:rPr>
        <w:t>.</w:t>
      </w:r>
    </w:p>
    <w:p w14:paraId="252CC1CA" w14:textId="2976A921" w:rsidR="003B721C" w:rsidRDefault="00D035FD" w:rsidP="00D035FD">
      <w:pPr>
        <w:spacing w:line="360" w:lineRule="auto"/>
        <w:rPr>
          <w:rFonts w:ascii="Arial" w:eastAsiaTheme="minorHAnsi" w:hAnsi="Arial" w:cs="Arial"/>
          <w:bCs/>
          <w:sz w:val="22"/>
          <w:szCs w:val="22"/>
          <w:lang w:val="en-GB"/>
        </w:rPr>
      </w:pPr>
      <w:r w:rsidRPr="00D035FD">
        <w:rPr>
          <w:rFonts w:ascii="Arial" w:hAnsi="Arial" w:cs="Arial"/>
          <w:b/>
          <w:color w:val="000000"/>
          <w:sz w:val="22"/>
          <w:szCs w:val="22"/>
        </w:rPr>
        <w:t>Methods:</w:t>
      </w:r>
      <w:r>
        <w:rPr>
          <w:rFonts w:ascii="Arial" w:hAnsi="Arial" w:cs="Arial"/>
          <w:color w:val="000000"/>
          <w:sz w:val="22"/>
          <w:szCs w:val="22"/>
        </w:rPr>
        <w:t xml:space="preserve"> </w:t>
      </w:r>
      <w:r>
        <w:rPr>
          <w:rFonts w:ascii="Arial" w:eastAsiaTheme="minorHAnsi" w:hAnsi="Arial" w:cs="Arial"/>
          <w:bCs/>
          <w:sz w:val="22"/>
          <w:szCs w:val="22"/>
          <w:lang w:val="en-GB"/>
        </w:rPr>
        <w:t xml:space="preserve">The current study included </w:t>
      </w:r>
      <w:r>
        <w:rPr>
          <w:rFonts w:ascii="Arial" w:hAnsi="Arial" w:cs="Arial"/>
          <w:color w:val="000000" w:themeColor="text1"/>
          <w:sz w:val="22"/>
          <w:szCs w:val="22"/>
        </w:rPr>
        <w:t>32 female patients with DID</w:t>
      </w:r>
      <w:r w:rsidRPr="00295F63">
        <w:rPr>
          <w:rFonts w:ascii="Arial" w:hAnsi="Arial" w:cs="Arial"/>
          <w:color w:val="000000" w:themeColor="text1"/>
          <w:sz w:val="22"/>
          <w:szCs w:val="22"/>
        </w:rPr>
        <w:t xml:space="preserve"> and 43 </w:t>
      </w:r>
      <w:r>
        <w:rPr>
          <w:rFonts w:ascii="Arial" w:hAnsi="Arial" w:cs="Arial"/>
          <w:color w:val="000000" w:themeColor="text1"/>
          <w:sz w:val="22"/>
          <w:szCs w:val="22"/>
        </w:rPr>
        <w:t>matched</w:t>
      </w:r>
      <w:r w:rsidRPr="00295F63">
        <w:rPr>
          <w:rFonts w:ascii="Arial" w:hAnsi="Arial" w:cs="Arial"/>
          <w:color w:val="000000" w:themeColor="text1"/>
          <w:sz w:val="22"/>
          <w:szCs w:val="22"/>
        </w:rPr>
        <w:t xml:space="preserve"> healthy controls. </w:t>
      </w:r>
      <w:r>
        <w:rPr>
          <w:rFonts w:ascii="Arial" w:eastAsiaTheme="minorHAnsi" w:hAnsi="Arial" w:cs="Arial"/>
          <w:sz w:val="22"/>
          <w:szCs w:val="22"/>
          <w:lang w:val="en-GB"/>
        </w:rPr>
        <w:t xml:space="preserve">Between-group differences in </w:t>
      </w:r>
      <w:r>
        <w:rPr>
          <w:rFonts w:ascii="Arial" w:hAnsi="Arial" w:cs="Arial"/>
          <w:color w:val="000000"/>
          <w:sz w:val="22"/>
          <w:szCs w:val="22"/>
        </w:rPr>
        <w:t>cortical volume</w:t>
      </w:r>
      <w:r>
        <w:rPr>
          <w:rFonts w:ascii="Arial" w:eastAsiaTheme="minorHAnsi" w:hAnsi="Arial" w:cs="Arial"/>
          <w:sz w:val="22"/>
          <w:szCs w:val="22"/>
          <w:lang w:val="en-GB"/>
        </w:rPr>
        <w:t xml:space="preserve">, </w:t>
      </w:r>
      <w:r>
        <w:rPr>
          <w:rFonts w:ascii="Arial" w:hAnsi="Arial" w:cs="Arial"/>
          <w:color w:val="000000"/>
          <w:sz w:val="22"/>
          <w:szCs w:val="22"/>
        </w:rPr>
        <w:t>thickness</w:t>
      </w:r>
      <w:r>
        <w:rPr>
          <w:rFonts w:ascii="Arial" w:eastAsiaTheme="minorHAnsi" w:hAnsi="Arial" w:cs="Arial"/>
          <w:sz w:val="22"/>
          <w:szCs w:val="22"/>
          <w:lang w:val="en-GB"/>
        </w:rPr>
        <w:t xml:space="preserve">, and </w:t>
      </w:r>
      <w:r>
        <w:rPr>
          <w:rFonts w:ascii="Arial" w:hAnsi="Arial" w:cs="Arial"/>
          <w:color w:val="000000"/>
          <w:sz w:val="22"/>
          <w:szCs w:val="22"/>
        </w:rPr>
        <w:t>surface area</w:t>
      </w:r>
      <w:r>
        <w:rPr>
          <w:rFonts w:ascii="Arial" w:eastAsiaTheme="minorHAnsi" w:hAnsi="Arial" w:cs="Arial"/>
          <w:sz w:val="22"/>
          <w:szCs w:val="22"/>
          <w:lang w:val="en-GB"/>
        </w:rPr>
        <w:t>,</w:t>
      </w:r>
      <w:r w:rsidRPr="00295F63">
        <w:rPr>
          <w:rFonts w:ascii="Arial" w:eastAsiaTheme="minorHAnsi" w:hAnsi="Arial" w:cs="Arial"/>
          <w:sz w:val="22"/>
          <w:szCs w:val="22"/>
          <w:lang w:val="en-GB"/>
        </w:rPr>
        <w:t xml:space="preserve"> the degree of spatial overlap between differences in</w:t>
      </w:r>
      <w:r>
        <w:rPr>
          <w:rFonts w:ascii="Arial" w:eastAsiaTheme="minorHAnsi" w:hAnsi="Arial" w:cs="Arial"/>
          <w:sz w:val="22"/>
          <w:szCs w:val="22"/>
          <w:lang w:val="en-GB"/>
        </w:rPr>
        <w:t xml:space="preserve"> </w:t>
      </w:r>
      <w:r>
        <w:rPr>
          <w:rFonts w:ascii="Arial" w:hAnsi="Arial" w:cs="Arial"/>
          <w:color w:val="000000"/>
          <w:sz w:val="22"/>
          <w:szCs w:val="22"/>
        </w:rPr>
        <w:t>cortical thickness</w:t>
      </w:r>
      <w:r>
        <w:rPr>
          <w:rFonts w:ascii="Arial" w:eastAsiaTheme="minorHAnsi" w:hAnsi="Arial" w:cs="Arial"/>
          <w:sz w:val="22"/>
          <w:szCs w:val="22"/>
          <w:lang w:val="en-GB"/>
        </w:rPr>
        <w:t xml:space="preserve"> and </w:t>
      </w:r>
      <w:r>
        <w:rPr>
          <w:rFonts w:ascii="Arial" w:hAnsi="Arial" w:cs="Arial"/>
          <w:color w:val="000000"/>
          <w:sz w:val="22"/>
          <w:szCs w:val="22"/>
        </w:rPr>
        <w:t>surface area</w:t>
      </w:r>
      <w:r>
        <w:rPr>
          <w:rFonts w:ascii="Arial" w:eastAsiaTheme="minorHAnsi" w:hAnsi="Arial" w:cs="Arial"/>
          <w:sz w:val="22"/>
          <w:szCs w:val="22"/>
          <w:lang w:val="en-GB"/>
        </w:rPr>
        <w:t>,</w:t>
      </w:r>
      <w:r w:rsidRPr="00295F63">
        <w:rPr>
          <w:rFonts w:ascii="Arial" w:eastAsiaTheme="minorHAnsi" w:hAnsi="Arial" w:cs="Arial"/>
          <w:sz w:val="22"/>
          <w:szCs w:val="22"/>
          <w:lang w:val="en-GB"/>
        </w:rPr>
        <w:t xml:space="preserve"> </w:t>
      </w:r>
      <w:r>
        <w:rPr>
          <w:rFonts w:ascii="Arial" w:eastAsiaTheme="minorHAnsi" w:hAnsi="Arial" w:cs="Arial"/>
          <w:sz w:val="22"/>
          <w:szCs w:val="22"/>
          <w:lang w:val="en-GB"/>
        </w:rPr>
        <w:t xml:space="preserve">and </w:t>
      </w:r>
      <w:r w:rsidRPr="00295F63">
        <w:rPr>
          <w:rFonts w:ascii="Arial" w:eastAsiaTheme="minorHAnsi" w:hAnsi="Arial" w:cs="Arial"/>
          <w:sz w:val="22"/>
          <w:szCs w:val="22"/>
          <w:lang w:val="en-GB"/>
        </w:rPr>
        <w:t>their relative contributi</w:t>
      </w:r>
      <w:r>
        <w:rPr>
          <w:rFonts w:ascii="Arial" w:eastAsiaTheme="minorHAnsi" w:hAnsi="Arial" w:cs="Arial"/>
          <w:sz w:val="22"/>
          <w:szCs w:val="22"/>
          <w:lang w:val="en-GB"/>
        </w:rPr>
        <w:t xml:space="preserve">on to differences in regional </w:t>
      </w:r>
      <w:r>
        <w:rPr>
          <w:rFonts w:ascii="Arial" w:hAnsi="Arial" w:cs="Arial"/>
          <w:color w:val="000000"/>
          <w:sz w:val="22"/>
          <w:szCs w:val="22"/>
        </w:rPr>
        <w:t>cortical volume</w:t>
      </w:r>
      <w:r>
        <w:rPr>
          <w:rFonts w:ascii="Arial" w:eastAsiaTheme="minorHAnsi" w:hAnsi="Arial" w:cs="Arial"/>
          <w:sz w:val="22"/>
          <w:szCs w:val="22"/>
          <w:lang w:val="en-GB"/>
        </w:rPr>
        <w:t xml:space="preserve"> were assessed using </w:t>
      </w:r>
      <w:r>
        <w:rPr>
          <w:rFonts w:ascii="Arial" w:hAnsi="Arial" w:cs="Arial"/>
          <w:sz w:val="22"/>
          <w:szCs w:val="22"/>
        </w:rPr>
        <w:t xml:space="preserve">a </w:t>
      </w:r>
      <w:r w:rsidRPr="00295F63">
        <w:rPr>
          <w:rFonts w:ascii="Arial" w:hAnsi="Arial" w:cs="Arial"/>
          <w:sz w:val="22"/>
          <w:szCs w:val="22"/>
        </w:rPr>
        <w:t>novel spatially-unbiased vertex-wise approach</w:t>
      </w:r>
      <w:r>
        <w:rPr>
          <w:rFonts w:ascii="Arial" w:hAnsi="Arial" w:cs="Arial"/>
          <w:sz w:val="22"/>
          <w:szCs w:val="22"/>
        </w:rPr>
        <w:t>.</w:t>
      </w:r>
      <w:r>
        <w:rPr>
          <w:rFonts w:ascii="Arial" w:eastAsiaTheme="minorHAnsi" w:hAnsi="Arial" w:cs="Arial"/>
          <w:bCs/>
          <w:sz w:val="22"/>
          <w:szCs w:val="22"/>
          <w:lang w:val="en-GB"/>
        </w:rPr>
        <w:t xml:space="preserve"> </w:t>
      </w:r>
      <w:r w:rsidR="00750D7E">
        <w:rPr>
          <w:rFonts w:ascii="Arial" w:hAnsi="Arial" w:cs="Arial"/>
          <w:sz w:val="22"/>
          <w:szCs w:val="22"/>
        </w:rPr>
        <w:t>Whole-brain correlat</w:t>
      </w:r>
      <w:r w:rsidR="003A02E1">
        <w:rPr>
          <w:rFonts w:ascii="Arial" w:hAnsi="Arial" w:cs="Arial"/>
          <w:sz w:val="22"/>
          <w:szCs w:val="22"/>
        </w:rPr>
        <w:t xml:space="preserve">ion analyses were </w:t>
      </w:r>
      <w:r w:rsidR="003A02E1" w:rsidRPr="003A02E1">
        <w:rPr>
          <w:rFonts w:ascii="Arial" w:hAnsi="Arial" w:cs="Arial"/>
          <w:sz w:val="22"/>
          <w:szCs w:val="22"/>
        </w:rPr>
        <w:t xml:space="preserve">performed </w:t>
      </w:r>
      <w:r w:rsidR="003A02E1" w:rsidRPr="008C3C74">
        <w:rPr>
          <w:rFonts w:ascii="Arial" w:hAnsi="Arial" w:cs="Arial"/>
          <w:sz w:val="22"/>
          <w:szCs w:val="22"/>
        </w:rPr>
        <w:t>between measures of cortical anatomy and</w:t>
      </w:r>
      <w:r w:rsidR="00750D7E" w:rsidRPr="003A02E1">
        <w:rPr>
          <w:rFonts w:ascii="Arial" w:hAnsi="Arial" w:cs="Arial"/>
          <w:sz w:val="22"/>
          <w:szCs w:val="22"/>
        </w:rPr>
        <w:t xml:space="preserve"> </w:t>
      </w:r>
      <w:r w:rsidR="00750D7E">
        <w:rPr>
          <w:rFonts w:ascii="Arial" w:hAnsi="Arial" w:cs="Arial"/>
          <w:sz w:val="22"/>
          <w:szCs w:val="22"/>
        </w:rPr>
        <w:t>dissociative symptoms and traumatization.</w:t>
      </w:r>
    </w:p>
    <w:p w14:paraId="422B0F51" w14:textId="0DB58BD1" w:rsidR="00D035FD" w:rsidRDefault="00D035FD" w:rsidP="00D035FD">
      <w:pPr>
        <w:spacing w:line="360" w:lineRule="auto"/>
        <w:rPr>
          <w:rFonts w:ascii="Arial" w:eastAsiaTheme="minorHAnsi" w:hAnsi="Arial" w:cs="Arial"/>
          <w:sz w:val="22"/>
          <w:szCs w:val="22"/>
          <w:lang w:val="en-GB"/>
        </w:rPr>
      </w:pPr>
      <w:r w:rsidRPr="00D035FD">
        <w:rPr>
          <w:rFonts w:ascii="Arial" w:eastAsiaTheme="minorHAnsi" w:hAnsi="Arial" w:cs="Arial"/>
          <w:b/>
          <w:bCs/>
          <w:sz w:val="22"/>
          <w:szCs w:val="22"/>
          <w:lang w:val="en-GB"/>
        </w:rPr>
        <w:t>Results:</w:t>
      </w:r>
      <w:r>
        <w:rPr>
          <w:rFonts w:ascii="Arial" w:eastAsiaTheme="minorHAnsi" w:hAnsi="Arial" w:cs="Arial"/>
          <w:bCs/>
          <w:sz w:val="22"/>
          <w:szCs w:val="22"/>
          <w:lang w:val="en-GB"/>
        </w:rPr>
        <w:t xml:space="preserve"> I</w:t>
      </w:r>
      <w:r w:rsidRPr="00295F63">
        <w:rPr>
          <w:rFonts w:ascii="Arial" w:eastAsiaTheme="minorHAnsi" w:hAnsi="Arial" w:cs="Arial"/>
          <w:sz w:val="22"/>
          <w:szCs w:val="22"/>
          <w:lang w:val="en-GB"/>
        </w:rPr>
        <w:t xml:space="preserve">ndividuals with DID differed from controls in </w:t>
      </w:r>
      <w:r>
        <w:rPr>
          <w:rFonts w:ascii="Arial" w:hAnsi="Arial" w:cs="Arial"/>
          <w:color w:val="000000"/>
          <w:sz w:val="22"/>
          <w:szCs w:val="22"/>
        </w:rPr>
        <w:t>cortical volume</w:t>
      </w:r>
      <w:r>
        <w:rPr>
          <w:rFonts w:ascii="Arial" w:eastAsiaTheme="minorHAnsi" w:hAnsi="Arial" w:cs="Arial"/>
          <w:sz w:val="22"/>
          <w:szCs w:val="22"/>
          <w:lang w:val="en-GB"/>
        </w:rPr>
        <w:t xml:space="preserve">, </w:t>
      </w:r>
      <w:r>
        <w:rPr>
          <w:rFonts w:ascii="Arial" w:hAnsi="Arial" w:cs="Arial"/>
          <w:color w:val="000000"/>
          <w:sz w:val="22"/>
          <w:szCs w:val="22"/>
        </w:rPr>
        <w:t>thickness</w:t>
      </w:r>
      <w:r>
        <w:rPr>
          <w:rFonts w:ascii="Arial" w:eastAsiaTheme="minorHAnsi" w:hAnsi="Arial" w:cs="Arial"/>
          <w:sz w:val="22"/>
          <w:szCs w:val="22"/>
          <w:lang w:val="en-GB"/>
        </w:rPr>
        <w:t xml:space="preserve">, and </w:t>
      </w:r>
      <w:r>
        <w:rPr>
          <w:rFonts w:ascii="Arial" w:hAnsi="Arial" w:cs="Arial"/>
          <w:color w:val="000000"/>
          <w:sz w:val="22"/>
          <w:szCs w:val="22"/>
        </w:rPr>
        <w:t>surface area</w:t>
      </w:r>
      <w:r w:rsidR="00F516C3">
        <w:rPr>
          <w:rFonts w:ascii="Arial" w:eastAsiaTheme="minorHAnsi" w:hAnsi="Arial" w:cs="Arial"/>
          <w:sz w:val="22"/>
          <w:szCs w:val="22"/>
          <w:lang w:val="en-GB"/>
        </w:rPr>
        <w:t>, with s</w:t>
      </w:r>
      <w:r w:rsidRPr="00295F63">
        <w:rPr>
          <w:rFonts w:ascii="Arial" w:eastAsiaTheme="minorHAnsi" w:hAnsi="Arial" w:cs="Arial"/>
          <w:sz w:val="22"/>
          <w:szCs w:val="22"/>
          <w:lang w:val="en-GB"/>
        </w:rPr>
        <w:t xml:space="preserve">ignificantly decreased </w:t>
      </w:r>
      <w:r>
        <w:rPr>
          <w:rFonts w:ascii="Arial" w:hAnsi="Arial" w:cs="Arial"/>
          <w:color w:val="000000"/>
          <w:sz w:val="22"/>
          <w:szCs w:val="22"/>
        </w:rPr>
        <w:t>cortical thickness</w:t>
      </w:r>
      <w:r w:rsidRPr="00295F63">
        <w:rPr>
          <w:rFonts w:ascii="Arial" w:eastAsiaTheme="minorHAnsi" w:hAnsi="Arial" w:cs="Arial"/>
          <w:sz w:val="22"/>
          <w:szCs w:val="22"/>
          <w:lang w:val="en-GB"/>
        </w:rPr>
        <w:t xml:space="preserve"> in the insula, anterior cingulate and parietal regions and </w:t>
      </w:r>
      <w:r>
        <w:rPr>
          <w:rFonts w:ascii="Arial" w:eastAsiaTheme="minorHAnsi" w:hAnsi="Arial" w:cs="Arial"/>
          <w:sz w:val="22"/>
          <w:szCs w:val="22"/>
          <w:lang w:val="en-GB"/>
        </w:rPr>
        <w:t xml:space="preserve">reduced </w:t>
      </w:r>
      <w:r>
        <w:rPr>
          <w:rFonts w:ascii="Arial" w:hAnsi="Arial" w:cs="Arial"/>
          <w:color w:val="000000"/>
          <w:sz w:val="22"/>
          <w:szCs w:val="22"/>
        </w:rPr>
        <w:t>cortical surface area</w:t>
      </w:r>
      <w:r w:rsidRPr="00295F63">
        <w:rPr>
          <w:rFonts w:ascii="Arial" w:eastAsiaTheme="minorHAnsi" w:hAnsi="Arial" w:cs="Arial"/>
          <w:sz w:val="22"/>
          <w:szCs w:val="22"/>
          <w:lang w:val="en-GB"/>
        </w:rPr>
        <w:t xml:space="preserve"> in temporal and orbitofrontal cort</w:t>
      </w:r>
      <w:r>
        <w:rPr>
          <w:rFonts w:ascii="Arial" w:eastAsiaTheme="minorHAnsi" w:hAnsi="Arial" w:cs="Arial"/>
          <w:sz w:val="22"/>
          <w:szCs w:val="22"/>
          <w:lang w:val="en-GB"/>
        </w:rPr>
        <w:t>ices</w:t>
      </w:r>
      <w:r w:rsidRPr="00064CDC">
        <w:rPr>
          <w:rFonts w:ascii="Arial" w:eastAsiaTheme="minorHAnsi" w:hAnsi="Arial" w:cs="Arial"/>
          <w:sz w:val="22"/>
          <w:szCs w:val="22"/>
          <w:lang w:val="en-GB"/>
        </w:rPr>
        <w:t xml:space="preserve">. </w:t>
      </w:r>
      <w:r>
        <w:rPr>
          <w:rFonts w:ascii="Arial" w:eastAsiaTheme="minorHAnsi" w:hAnsi="Arial" w:cs="Arial"/>
          <w:sz w:val="22"/>
          <w:szCs w:val="22"/>
          <w:lang w:val="en-GB"/>
        </w:rPr>
        <w:t>A</w:t>
      </w:r>
      <w:r w:rsidRPr="00064CDC">
        <w:rPr>
          <w:rFonts w:ascii="Arial" w:eastAsiaTheme="minorHAnsi" w:hAnsi="Arial" w:cs="Arial"/>
          <w:sz w:val="22"/>
          <w:szCs w:val="22"/>
          <w:lang w:val="en-GB"/>
        </w:rPr>
        <w:t>bnormalities in c</w:t>
      </w:r>
      <w:r w:rsidRPr="00064CDC">
        <w:rPr>
          <w:rFonts w:ascii="Arial" w:hAnsi="Arial" w:cs="Arial"/>
          <w:color w:val="000000"/>
          <w:sz w:val="22"/>
          <w:szCs w:val="22"/>
        </w:rPr>
        <w:t>ortical thickness</w:t>
      </w:r>
      <w:r w:rsidRPr="00064CDC">
        <w:rPr>
          <w:rFonts w:ascii="Arial" w:eastAsiaTheme="minorHAnsi" w:hAnsi="Arial" w:cs="Arial"/>
          <w:sz w:val="22"/>
          <w:szCs w:val="22"/>
          <w:lang w:val="en-GB"/>
        </w:rPr>
        <w:t xml:space="preserve"> and </w:t>
      </w:r>
      <w:r w:rsidRPr="00064CDC">
        <w:rPr>
          <w:rFonts w:ascii="Arial" w:hAnsi="Arial" w:cs="Arial"/>
          <w:color w:val="000000"/>
          <w:sz w:val="22"/>
          <w:szCs w:val="22"/>
        </w:rPr>
        <w:t>surface area</w:t>
      </w:r>
      <w:r w:rsidRPr="00064CDC">
        <w:rPr>
          <w:rFonts w:ascii="Arial" w:eastAsiaTheme="minorHAnsi" w:hAnsi="Arial" w:cs="Arial"/>
          <w:sz w:val="22"/>
          <w:szCs w:val="22"/>
          <w:lang w:val="en-GB"/>
        </w:rPr>
        <w:t xml:space="preserve"> shared only about 3% of all significantly different cerebral surface locations and involved distinct contributions to the abnormality of </w:t>
      </w:r>
      <w:r w:rsidRPr="00064CDC">
        <w:rPr>
          <w:rFonts w:ascii="Arial" w:hAnsi="Arial" w:cs="Arial"/>
          <w:color w:val="000000"/>
          <w:sz w:val="22"/>
          <w:szCs w:val="22"/>
        </w:rPr>
        <w:t>cortical volume in DID</w:t>
      </w:r>
      <w:r w:rsidRPr="00064CDC">
        <w:rPr>
          <w:rFonts w:ascii="Arial" w:eastAsiaTheme="minorHAnsi" w:hAnsi="Arial" w:cs="Arial"/>
          <w:sz w:val="22"/>
          <w:szCs w:val="22"/>
          <w:lang w:val="en-GB"/>
        </w:rPr>
        <w:t xml:space="preserve">. </w:t>
      </w:r>
      <w:r w:rsidR="00060DE7">
        <w:rPr>
          <w:rFonts w:ascii="Arial" w:hAnsi="Arial" w:cs="Arial"/>
          <w:sz w:val="22"/>
          <w:szCs w:val="22"/>
        </w:rPr>
        <w:t xml:space="preserve">Significant </w:t>
      </w:r>
      <w:r w:rsidR="00986C3B">
        <w:rPr>
          <w:rFonts w:ascii="Arial" w:hAnsi="Arial" w:cs="Arial"/>
          <w:sz w:val="22"/>
          <w:szCs w:val="22"/>
        </w:rPr>
        <w:t xml:space="preserve">negative </w:t>
      </w:r>
      <w:r w:rsidR="00FB35AE">
        <w:rPr>
          <w:rFonts w:ascii="Arial" w:hAnsi="Arial" w:cs="Arial"/>
          <w:sz w:val="22"/>
          <w:szCs w:val="22"/>
        </w:rPr>
        <w:t>a</w:t>
      </w:r>
      <w:r w:rsidR="00750D7E">
        <w:rPr>
          <w:rFonts w:ascii="Arial" w:hAnsi="Arial" w:cs="Arial"/>
          <w:sz w:val="22"/>
          <w:szCs w:val="22"/>
        </w:rPr>
        <w:t xml:space="preserve">ssociations between abnormal brain </w:t>
      </w:r>
      <w:r w:rsidR="00750D7E" w:rsidRPr="00FB35AE">
        <w:rPr>
          <w:rFonts w:ascii="Arial" w:hAnsi="Arial" w:cs="Arial"/>
          <w:sz w:val="22"/>
          <w:szCs w:val="22"/>
        </w:rPr>
        <w:t xml:space="preserve">morphology </w:t>
      </w:r>
      <w:r w:rsidR="00FB35AE" w:rsidRPr="008C3C74">
        <w:rPr>
          <w:rFonts w:ascii="Arial" w:hAnsi="Arial" w:cs="Arial"/>
          <w:sz w:val="22"/>
          <w:szCs w:val="22"/>
        </w:rPr>
        <w:t xml:space="preserve">(surface area and cortical volume) </w:t>
      </w:r>
      <w:r w:rsidR="00750D7E">
        <w:rPr>
          <w:rFonts w:ascii="Arial" w:hAnsi="Arial" w:cs="Arial"/>
          <w:sz w:val="22"/>
          <w:szCs w:val="22"/>
        </w:rPr>
        <w:t>and dissociative symptoms and early childhood traumatization</w:t>
      </w:r>
      <w:r w:rsidR="009C5F9E">
        <w:rPr>
          <w:rFonts w:ascii="Arial" w:hAnsi="Arial" w:cs="Arial"/>
          <w:sz w:val="22"/>
          <w:szCs w:val="22"/>
        </w:rPr>
        <w:t xml:space="preserve"> </w:t>
      </w:r>
      <w:r w:rsidR="00CB1A81">
        <w:rPr>
          <w:rFonts w:ascii="Arial" w:hAnsi="Arial" w:cs="Arial"/>
          <w:sz w:val="22"/>
          <w:szCs w:val="22"/>
        </w:rPr>
        <w:t>(0 and 3 years of age)</w:t>
      </w:r>
      <w:r w:rsidR="00750D7E">
        <w:rPr>
          <w:rFonts w:ascii="Arial" w:hAnsi="Arial" w:cs="Arial"/>
          <w:sz w:val="22"/>
          <w:szCs w:val="22"/>
        </w:rPr>
        <w:t xml:space="preserve"> were found.</w:t>
      </w:r>
    </w:p>
    <w:p w14:paraId="43252CF2" w14:textId="77777777" w:rsidR="005925C4" w:rsidRDefault="00D035FD" w:rsidP="00BC52CE">
      <w:pPr>
        <w:widowControl w:val="0"/>
        <w:autoSpaceDE w:val="0"/>
        <w:autoSpaceDN w:val="0"/>
        <w:adjustRightInd w:val="0"/>
        <w:spacing w:line="360" w:lineRule="auto"/>
        <w:rPr>
          <w:rFonts w:ascii="Arial" w:hAnsi="Arial" w:cs="Arial"/>
        </w:rPr>
      </w:pPr>
      <w:r w:rsidRPr="00D035FD">
        <w:rPr>
          <w:rFonts w:ascii="Arial" w:eastAsiaTheme="minorHAnsi" w:hAnsi="Arial" w:cs="Arial"/>
          <w:b/>
          <w:sz w:val="22"/>
          <w:szCs w:val="22"/>
          <w:lang w:val="en-GB"/>
        </w:rPr>
        <w:t>Conclusions:</w:t>
      </w:r>
      <w:r>
        <w:rPr>
          <w:rFonts w:ascii="Arial" w:eastAsiaTheme="minorHAnsi" w:hAnsi="Arial" w:cs="Arial"/>
          <w:sz w:val="22"/>
          <w:szCs w:val="22"/>
          <w:lang w:val="en-GB"/>
        </w:rPr>
        <w:t xml:space="preserve"> </w:t>
      </w:r>
      <w:r w:rsidR="004E71E7">
        <w:rPr>
          <w:rFonts w:ascii="Arial" w:eastAsiaTheme="minorHAnsi" w:hAnsi="Arial" w:cs="Arial"/>
          <w:sz w:val="22"/>
          <w:szCs w:val="22"/>
          <w:lang w:val="en-GB"/>
        </w:rPr>
        <w:t>In DID</w:t>
      </w:r>
      <w:r w:rsidR="00904EEE">
        <w:rPr>
          <w:rFonts w:ascii="Arial" w:eastAsiaTheme="minorHAnsi" w:hAnsi="Arial" w:cs="Arial"/>
          <w:sz w:val="22"/>
          <w:szCs w:val="22"/>
          <w:lang w:val="en-GB"/>
        </w:rPr>
        <w:t>,</w:t>
      </w:r>
      <w:r w:rsidR="004E71E7">
        <w:rPr>
          <w:rFonts w:ascii="Arial" w:eastAsiaTheme="minorHAnsi" w:hAnsi="Arial" w:cs="Arial"/>
          <w:sz w:val="22"/>
          <w:szCs w:val="22"/>
          <w:lang w:val="en-GB"/>
        </w:rPr>
        <w:t xml:space="preserve"> </w:t>
      </w:r>
      <w:r w:rsidR="00833228">
        <w:rPr>
          <w:rFonts w:ascii="Arial" w:eastAsiaTheme="minorHAnsi" w:hAnsi="Arial" w:cs="Arial"/>
          <w:sz w:val="22"/>
          <w:szCs w:val="22"/>
          <w:lang w:val="en-GB"/>
        </w:rPr>
        <w:t xml:space="preserve">neuroanatomical areas </w:t>
      </w:r>
      <w:r w:rsidR="00904EEE">
        <w:rPr>
          <w:rFonts w:ascii="Arial" w:eastAsiaTheme="minorHAnsi" w:hAnsi="Arial" w:cs="Arial"/>
          <w:sz w:val="22"/>
          <w:szCs w:val="22"/>
          <w:lang w:val="en-GB"/>
        </w:rPr>
        <w:t xml:space="preserve">with </w:t>
      </w:r>
      <w:r w:rsidR="004E71E7">
        <w:rPr>
          <w:rFonts w:ascii="Arial" w:eastAsiaTheme="minorHAnsi" w:hAnsi="Arial" w:cs="Arial"/>
          <w:sz w:val="22"/>
          <w:szCs w:val="22"/>
          <w:lang w:val="en-GB"/>
        </w:rPr>
        <w:t xml:space="preserve">decreased </w:t>
      </w:r>
      <w:r w:rsidR="00F65BE3">
        <w:rPr>
          <w:rFonts w:ascii="Arial" w:eastAsiaTheme="minorHAnsi" w:hAnsi="Arial" w:cs="Arial"/>
          <w:sz w:val="22"/>
          <w:szCs w:val="22"/>
          <w:lang w:val="en-GB"/>
        </w:rPr>
        <w:t xml:space="preserve">cortical </w:t>
      </w:r>
      <w:r w:rsidR="004E71E7" w:rsidRPr="00064CDC">
        <w:rPr>
          <w:rFonts w:ascii="Arial" w:hAnsi="Arial" w:cs="Arial"/>
          <w:color w:val="000000"/>
          <w:sz w:val="22"/>
          <w:szCs w:val="22"/>
        </w:rPr>
        <w:t>thickness</w:t>
      </w:r>
      <w:r w:rsidR="004E71E7" w:rsidRPr="00064CDC">
        <w:rPr>
          <w:rFonts w:ascii="Arial" w:eastAsiaTheme="minorHAnsi" w:hAnsi="Arial" w:cs="Arial"/>
          <w:sz w:val="22"/>
          <w:szCs w:val="22"/>
          <w:lang w:val="en-GB"/>
        </w:rPr>
        <w:t xml:space="preserve"> and </w:t>
      </w:r>
      <w:r w:rsidR="004E71E7" w:rsidRPr="00064CDC">
        <w:rPr>
          <w:rFonts w:ascii="Arial" w:hAnsi="Arial" w:cs="Arial"/>
          <w:color w:val="000000"/>
          <w:sz w:val="22"/>
          <w:szCs w:val="22"/>
        </w:rPr>
        <w:t>surface area</w:t>
      </w:r>
      <w:r w:rsidR="004E71E7">
        <w:rPr>
          <w:rFonts w:ascii="Arial" w:eastAsiaTheme="minorHAnsi" w:hAnsi="Arial" w:cs="Arial"/>
          <w:sz w:val="22"/>
          <w:szCs w:val="22"/>
          <w:lang w:val="en-GB"/>
        </w:rPr>
        <w:t xml:space="preserve"> are</w:t>
      </w:r>
      <w:r w:rsidR="00833228">
        <w:rPr>
          <w:rFonts w:ascii="Arial" w:eastAsiaTheme="minorHAnsi" w:hAnsi="Arial" w:cs="Arial"/>
          <w:sz w:val="22"/>
          <w:szCs w:val="22"/>
          <w:lang w:val="en-GB"/>
        </w:rPr>
        <w:t xml:space="preserve"> in different locations in the brain.</w:t>
      </w:r>
      <w:r w:rsidR="00750D7E">
        <w:rPr>
          <w:rFonts w:ascii="Arial" w:eastAsiaTheme="minorHAnsi" w:hAnsi="Arial" w:cs="Arial"/>
          <w:sz w:val="22"/>
          <w:szCs w:val="22"/>
          <w:lang w:val="en-GB"/>
        </w:rPr>
        <w:t xml:space="preserve"> </w:t>
      </w:r>
      <w:r w:rsidR="00C01331">
        <w:rPr>
          <w:rFonts w:ascii="Arial" w:eastAsiaTheme="minorHAnsi" w:hAnsi="Arial" w:cs="Arial"/>
          <w:bCs/>
          <w:sz w:val="22"/>
          <w:szCs w:val="22"/>
          <w:lang w:val="en-GB"/>
        </w:rPr>
        <w:t xml:space="preserve">As </w:t>
      </w:r>
      <w:r>
        <w:rPr>
          <w:rFonts w:ascii="Arial" w:hAnsi="Arial" w:cs="Arial"/>
          <w:color w:val="000000"/>
          <w:sz w:val="22"/>
          <w:szCs w:val="22"/>
        </w:rPr>
        <w:t>cortical thickness</w:t>
      </w:r>
      <w:r>
        <w:rPr>
          <w:rFonts w:ascii="Arial" w:eastAsiaTheme="minorHAnsi" w:hAnsi="Arial" w:cs="Arial"/>
          <w:bCs/>
          <w:sz w:val="22"/>
          <w:szCs w:val="22"/>
          <w:lang w:val="en-GB"/>
        </w:rPr>
        <w:t xml:space="preserve"> </w:t>
      </w:r>
      <w:r w:rsidRPr="00295F63">
        <w:rPr>
          <w:rFonts w:ascii="Arial" w:eastAsiaTheme="minorHAnsi" w:hAnsi="Arial" w:cs="Arial"/>
          <w:bCs/>
          <w:sz w:val="22"/>
          <w:szCs w:val="22"/>
          <w:lang w:val="en-GB"/>
        </w:rPr>
        <w:t xml:space="preserve">and </w:t>
      </w:r>
      <w:r>
        <w:rPr>
          <w:rFonts w:ascii="Arial" w:hAnsi="Arial" w:cs="Arial"/>
          <w:color w:val="000000"/>
          <w:sz w:val="22"/>
          <w:szCs w:val="22"/>
        </w:rPr>
        <w:t>surface area</w:t>
      </w:r>
      <w:r w:rsidRPr="00295F63">
        <w:rPr>
          <w:rFonts w:ascii="Arial" w:eastAsiaTheme="minorHAnsi" w:hAnsi="Arial" w:cs="Arial"/>
          <w:bCs/>
          <w:sz w:val="22"/>
          <w:szCs w:val="22"/>
          <w:lang w:val="en-GB"/>
        </w:rPr>
        <w:t xml:space="preserve"> have distinct genetic and developmental origins</w:t>
      </w:r>
      <w:r w:rsidR="00C01331">
        <w:rPr>
          <w:rFonts w:ascii="Arial" w:eastAsiaTheme="minorHAnsi" w:hAnsi="Arial" w:cs="Arial"/>
          <w:bCs/>
          <w:sz w:val="22"/>
          <w:szCs w:val="22"/>
          <w:lang w:val="en-GB"/>
        </w:rPr>
        <w:t>, our findings may</w:t>
      </w:r>
      <w:r w:rsidR="00833228">
        <w:rPr>
          <w:rFonts w:ascii="Arial" w:eastAsiaTheme="minorHAnsi" w:hAnsi="Arial" w:cs="Arial"/>
          <w:bCs/>
          <w:sz w:val="22"/>
          <w:szCs w:val="22"/>
          <w:lang w:val="en-GB"/>
        </w:rPr>
        <w:t xml:space="preserve"> </w:t>
      </w:r>
      <w:r>
        <w:rPr>
          <w:rFonts w:ascii="Arial" w:eastAsiaTheme="minorHAnsi" w:hAnsi="Arial" w:cs="Arial"/>
          <w:bCs/>
          <w:sz w:val="22"/>
          <w:szCs w:val="22"/>
          <w:lang w:val="en-GB"/>
        </w:rPr>
        <w:t xml:space="preserve">indicate that </w:t>
      </w:r>
      <w:r w:rsidRPr="00295F63">
        <w:rPr>
          <w:rFonts w:ascii="Arial" w:hAnsi="Arial" w:cs="Arial"/>
          <w:color w:val="000000"/>
          <w:sz w:val="22"/>
          <w:szCs w:val="22"/>
        </w:rPr>
        <w:t xml:space="preserve">different neurobiological mechanisms </w:t>
      </w:r>
      <w:r>
        <w:rPr>
          <w:rFonts w:ascii="Arial" w:hAnsi="Arial" w:cs="Arial"/>
          <w:color w:val="000000"/>
          <w:sz w:val="22"/>
          <w:szCs w:val="22"/>
        </w:rPr>
        <w:t>and</w:t>
      </w:r>
      <w:r w:rsidRPr="00295F63">
        <w:rPr>
          <w:rFonts w:ascii="Arial" w:hAnsi="Arial" w:cs="Arial"/>
          <w:color w:val="000000"/>
          <w:sz w:val="22"/>
          <w:szCs w:val="22"/>
        </w:rPr>
        <w:t xml:space="preserve"> environmental factors</w:t>
      </w:r>
      <w:r>
        <w:rPr>
          <w:rFonts w:ascii="Arial" w:hAnsi="Arial" w:cs="Arial"/>
          <w:color w:val="000000"/>
          <w:sz w:val="22"/>
          <w:szCs w:val="22"/>
        </w:rPr>
        <w:t xml:space="preserve"> impact on </w:t>
      </w:r>
      <w:r w:rsidRPr="00295F63">
        <w:rPr>
          <w:rFonts w:ascii="Arial" w:hAnsi="Arial" w:cs="Arial"/>
          <w:color w:val="000000"/>
          <w:sz w:val="22"/>
          <w:szCs w:val="22"/>
        </w:rPr>
        <w:t xml:space="preserve">cortical </w:t>
      </w:r>
      <w:r>
        <w:rPr>
          <w:rFonts w:ascii="Arial" w:hAnsi="Arial" w:cs="Arial"/>
          <w:color w:val="000000"/>
          <w:sz w:val="22"/>
          <w:szCs w:val="22"/>
        </w:rPr>
        <w:t>morphology</w:t>
      </w:r>
      <w:r w:rsidR="00C01331">
        <w:rPr>
          <w:rFonts w:ascii="Arial" w:hAnsi="Arial" w:cs="Arial"/>
          <w:color w:val="000000"/>
          <w:sz w:val="22"/>
          <w:szCs w:val="22"/>
        </w:rPr>
        <w:t xml:space="preserve"> </w:t>
      </w:r>
      <w:r w:rsidR="00C01331">
        <w:rPr>
          <w:rFonts w:ascii="Arial" w:eastAsiaTheme="minorHAnsi" w:hAnsi="Arial" w:cs="Arial"/>
          <w:bCs/>
          <w:sz w:val="22"/>
          <w:szCs w:val="22"/>
          <w:lang w:val="en-GB"/>
        </w:rPr>
        <w:t>in DID</w:t>
      </w:r>
      <w:r w:rsidR="009C5F9E">
        <w:rPr>
          <w:rFonts w:ascii="Arial" w:hAnsi="Arial" w:cs="Arial"/>
          <w:color w:val="000000"/>
          <w:sz w:val="22"/>
          <w:szCs w:val="22"/>
        </w:rPr>
        <w:t xml:space="preserve">, such as </w:t>
      </w:r>
      <w:r w:rsidR="00C01331">
        <w:rPr>
          <w:rFonts w:ascii="Arial" w:hAnsi="Arial" w:cs="Arial"/>
          <w:color w:val="000000"/>
          <w:sz w:val="22"/>
          <w:szCs w:val="22"/>
        </w:rPr>
        <w:t xml:space="preserve">early </w:t>
      </w:r>
      <w:r w:rsidR="009C5F9E" w:rsidRPr="00295F63">
        <w:rPr>
          <w:rFonts w:ascii="Arial" w:hAnsi="Arial" w:cs="Arial"/>
          <w:color w:val="000000"/>
          <w:sz w:val="22"/>
          <w:szCs w:val="22"/>
        </w:rPr>
        <w:t>childhood traumatization</w:t>
      </w:r>
      <w:r>
        <w:rPr>
          <w:rFonts w:ascii="Arial" w:hAnsi="Arial" w:cs="Arial"/>
          <w:color w:val="000000"/>
          <w:sz w:val="22"/>
          <w:szCs w:val="22"/>
        </w:rPr>
        <w:t>.</w:t>
      </w:r>
      <w:r w:rsidR="00F65BE3">
        <w:rPr>
          <w:rFonts w:ascii="Arial" w:hAnsi="Arial" w:cs="Arial"/>
        </w:rPr>
        <w:t xml:space="preserve"> </w:t>
      </w:r>
    </w:p>
    <w:p w14:paraId="66BBDF6C" w14:textId="043A2AB1" w:rsidR="00CC5B51" w:rsidRDefault="005925C4" w:rsidP="00BC52CE">
      <w:pPr>
        <w:widowControl w:val="0"/>
        <w:autoSpaceDE w:val="0"/>
        <w:autoSpaceDN w:val="0"/>
        <w:adjustRightInd w:val="0"/>
        <w:spacing w:line="360" w:lineRule="auto"/>
        <w:rPr>
          <w:rFonts w:ascii="Arial" w:hAnsi="Arial" w:cs="Arial"/>
          <w:b/>
          <w:sz w:val="22"/>
          <w:szCs w:val="22"/>
          <w:lang w:val="en-GB"/>
        </w:rPr>
      </w:pPr>
      <w:r>
        <w:rPr>
          <w:rFonts w:ascii="Arial" w:hAnsi="Arial" w:cs="Arial"/>
        </w:rPr>
        <w:br w:type="column"/>
      </w:r>
      <w:r w:rsidR="00CC5B51">
        <w:rPr>
          <w:rFonts w:ascii="Arial" w:hAnsi="Arial" w:cs="Arial"/>
          <w:b/>
          <w:sz w:val="22"/>
          <w:szCs w:val="22"/>
          <w:lang w:val="en-GB"/>
        </w:rPr>
        <w:lastRenderedPageBreak/>
        <w:t>Significant Outcomes:</w:t>
      </w:r>
      <w:r w:rsidR="00473AF1">
        <w:rPr>
          <w:rFonts w:ascii="Arial" w:hAnsi="Arial" w:cs="Arial"/>
          <w:b/>
          <w:sz w:val="22"/>
          <w:szCs w:val="22"/>
          <w:lang w:val="en-GB"/>
        </w:rPr>
        <w:t xml:space="preserve"> </w:t>
      </w:r>
    </w:p>
    <w:p w14:paraId="4BC42CB3" w14:textId="77777777" w:rsidR="00CC5B51" w:rsidRPr="00CC5B51" w:rsidRDefault="00473AF1" w:rsidP="00BC52CE">
      <w:pPr>
        <w:pStyle w:val="Lijstalinea"/>
        <w:widowControl w:val="0"/>
        <w:numPr>
          <w:ilvl w:val="0"/>
          <w:numId w:val="3"/>
        </w:numPr>
        <w:autoSpaceDE w:val="0"/>
        <w:autoSpaceDN w:val="0"/>
        <w:adjustRightInd w:val="0"/>
        <w:spacing w:line="360" w:lineRule="auto"/>
        <w:rPr>
          <w:rFonts w:ascii="Arial" w:hAnsi="Arial" w:cs="Arial"/>
          <w:b/>
          <w:sz w:val="22"/>
          <w:szCs w:val="22"/>
          <w:lang w:val="en-GB"/>
        </w:rPr>
      </w:pPr>
      <w:r w:rsidRPr="00CC5B51">
        <w:rPr>
          <w:rFonts w:ascii="Arial" w:hAnsi="Arial" w:cs="Arial"/>
          <w:sz w:val="22"/>
          <w:szCs w:val="22"/>
          <w:lang w:val="en-GB"/>
        </w:rPr>
        <w:t xml:space="preserve">This multicentre case-control study in 75 participants revealed </w:t>
      </w:r>
      <w:r w:rsidRPr="00CC5B51">
        <w:rPr>
          <w:rFonts w:ascii="Arial" w:eastAsiaTheme="minorHAnsi" w:hAnsi="Arial" w:cs="Arial"/>
          <w:sz w:val="22"/>
          <w:szCs w:val="22"/>
          <w:lang w:val="en-GB"/>
        </w:rPr>
        <w:t xml:space="preserve">that </w:t>
      </w:r>
      <w:r w:rsidRPr="00CC5B51">
        <w:rPr>
          <w:rFonts w:ascii="Arial" w:hAnsi="Arial" w:cs="Arial"/>
          <w:color w:val="000000"/>
          <w:sz w:val="22"/>
          <w:szCs w:val="22"/>
        </w:rPr>
        <w:t xml:space="preserve">dissociative identity disorder is associated with significant abnormal cortical volume and </w:t>
      </w:r>
      <w:r w:rsidRPr="00CC5B51">
        <w:rPr>
          <w:rFonts w:ascii="Arial" w:eastAsiaTheme="minorHAnsi" w:hAnsi="Arial" w:cs="Arial"/>
          <w:sz w:val="22"/>
          <w:szCs w:val="22"/>
          <w:lang w:val="en-GB"/>
        </w:rPr>
        <w:t xml:space="preserve">with distinct abnormalities of </w:t>
      </w:r>
      <w:r w:rsidRPr="00CC5B51">
        <w:rPr>
          <w:rFonts w:ascii="Arial" w:hAnsi="Arial" w:cs="Arial"/>
          <w:color w:val="000000"/>
          <w:sz w:val="22"/>
          <w:szCs w:val="22"/>
        </w:rPr>
        <w:t>cortical thickness</w:t>
      </w:r>
      <w:r w:rsidRPr="00CC5B51">
        <w:rPr>
          <w:rFonts w:ascii="Arial" w:eastAsiaTheme="minorHAnsi" w:hAnsi="Arial" w:cs="Arial"/>
          <w:sz w:val="22"/>
          <w:szCs w:val="22"/>
          <w:lang w:val="en-GB"/>
        </w:rPr>
        <w:t xml:space="preserve"> and </w:t>
      </w:r>
      <w:r w:rsidRPr="00CC5B51">
        <w:rPr>
          <w:rFonts w:ascii="Arial" w:hAnsi="Arial" w:cs="Arial"/>
          <w:color w:val="000000"/>
          <w:sz w:val="22"/>
          <w:szCs w:val="22"/>
        </w:rPr>
        <w:t>cortical surface area</w:t>
      </w:r>
      <w:r w:rsidRPr="00CC5B51">
        <w:rPr>
          <w:rFonts w:ascii="Arial" w:eastAsiaTheme="minorHAnsi" w:hAnsi="Arial" w:cs="Arial"/>
          <w:sz w:val="22"/>
          <w:szCs w:val="22"/>
          <w:lang w:val="en-GB"/>
        </w:rPr>
        <w:t xml:space="preserve">. </w:t>
      </w:r>
    </w:p>
    <w:p w14:paraId="187D7C7A" w14:textId="49F81C32" w:rsidR="00262473" w:rsidRPr="008C3C74" w:rsidRDefault="00473AF1">
      <w:pPr>
        <w:pStyle w:val="Lijstalinea"/>
        <w:widowControl w:val="0"/>
        <w:numPr>
          <w:ilvl w:val="0"/>
          <w:numId w:val="3"/>
        </w:numPr>
        <w:autoSpaceDE w:val="0"/>
        <w:autoSpaceDN w:val="0"/>
        <w:adjustRightInd w:val="0"/>
        <w:spacing w:line="360" w:lineRule="auto"/>
        <w:rPr>
          <w:rFonts w:ascii="Arial" w:hAnsi="Arial" w:cs="Arial"/>
          <w:b/>
          <w:sz w:val="22"/>
          <w:szCs w:val="22"/>
          <w:lang w:val="en-GB"/>
        </w:rPr>
      </w:pPr>
      <w:r w:rsidRPr="00CC5B51">
        <w:rPr>
          <w:rFonts w:ascii="Arial" w:eastAsiaTheme="minorHAnsi" w:hAnsi="Arial" w:cs="Arial"/>
          <w:sz w:val="22"/>
          <w:szCs w:val="22"/>
          <w:lang w:val="en-GB"/>
        </w:rPr>
        <w:t>Because c</w:t>
      </w:r>
      <w:r w:rsidRPr="00CC5B51">
        <w:rPr>
          <w:rFonts w:ascii="Arial" w:hAnsi="Arial" w:cs="Arial"/>
          <w:color w:val="000000"/>
          <w:sz w:val="22"/>
          <w:szCs w:val="22"/>
        </w:rPr>
        <w:t>ortical thickness</w:t>
      </w:r>
      <w:r w:rsidRPr="00CC5B51">
        <w:rPr>
          <w:rFonts w:ascii="Arial" w:eastAsiaTheme="minorHAnsi" w:hAnsi="Arial" w:cs="Arial"/>
          <w:bCs/>
          <w:sz w:val="22"/>
          <w:szCs w:val="22"/>
          <w:lang w:val="en-GB"/>
        </w:rPr>
        <w:t xml:space="preserve"> and </w:t>
      </w:r>
      <w:r w:rsidRPr="00CC5B51">
        <w:rPr>
          <w:rFonts w:ascii="Arial" w:hAnsi="Arial" w:cs="Arial"/>
          <w:color w:val="000000"/>
          <w:sz w:val="22"/>
          <w:szCs w:val="22"/>
        </w:rPr>
        <w:t>cortical surface area</w:t>
      </w:r>
      <w:r w:rsidRPr="00CC5B51">
        <w:rPr>
          <w:rFonts w:ascii="Arial" w:eastAsiaTheme="minorHAnsi" w:hAnsi="Arial" w:cs="Arial"/>
          <w:bCs/>
          <w:sz w:val="22"/>
          <w:szCs w:val="22"/>
          <w:lang w:val="en-GB"/>
        </w:rPr>
        <w:t xml:space="preserve"> have distinct genetic and developmental origins, </w:t>
      </w:r>
      <w:r w:rsidRPr="00CC5B51">
        <w:rPr>
          <w:rFonts w:ascii="Arial" w:hAnsi="Arial" w:cs="Arial"/>
          <w:color w:val="000000"/>
          <w:sz w:val="22"/>
          <w:szCs w:val="22"/>
        </w:rPr>
        <w:t xml:space="preserve">different neurobiological mechanisms and environmental factors may impact </w:t>
      </w:r>
      <w:r w:rsidR="00721111">
        <w:rPr>
          <w:rFonts w:ascii="Arial" w:hAnsi="Arial" w:cs="Arial"/>
          <w:color w:val="000000"/>
          <w:sz w:val="22"/>
          <w:szCs w:val="22"/>
        </w:rPr>
        <w:t xml:space="preserve">differently </w:t>
      </w:r>
      <w:r w:rsidRPr="00CC5B51">
        <w:rPr>
          <w:rFonts w:ascii="Arial" w:hAnsi="Arial" w:cs="Arial"/>
          <w:color w:val="000000"/>
          <w:sz w:val="22"/>
          <w:szCs w:val="22"/>
        </w:rPr>
        <w:t xml:space="preserve">on </w:t>
      </w:r>
      <w:r w:rsidR="00262473">
        <w:rPr>
          <w:rFonts w:ascii="Arial" w:hAnsi="Arial" w:cs="Arial"/>
          <w:color w:val="000000"/>
          <w:sz w:val="22"/>
          <w:szCs w:val="22"/>
        </w:rPr>
        <w:t xml:space="preserve">brain </w:t>
      </w:r>
      <w:r w:rsidRPr="00CC5B51">
        <w:rPr>
          <w:rFonts w:ascii="Arial" w:hAnsi="Arial" w:cs="Arial"/>
          <w:color w:val="000000"/>
          <w:sz w:val="22"/>
          <w:szCs w:val="22"/>
        </w:rPr>
        <w:t xml:space="preserve">morphology </w:t>
      </w:r>
      <w:r w:rsidRPr="00CC5B51">
        <w:rPr>
          <w:rFonts w:ascii="Arial" w:eastAsiaTheme="minorHAnsi" w:hAnsi="Arial" w:cs="Arial"/>
          <w:bCs/>
          <w:sz w:val="22"/>
          <w:szCs w:val="22"/>
          <w:lang w:val="en-GB"/>
        </w:rPr>
        <w:t>in dissociative identity disorder</w:t>
      </w:r>
      <w:r w:rsidRPr="00CC5B51">
        <w:rPr>
          <w:rFonts w:ascii="Arial" w:hAnsi="Arial" w:cs="Arial"/>
          <w:color w:val="000000"/>
          <w:sz w:val="22"/>
          <w:szCs w:val="22"/>
        </w:rPr>
        <w:t>.</w:t>
      </w:r>
    </w:p>
    <w:p w14:paraId="64BABE5E" w14:textId="77777777" w:rsidR="00CC5B51" w:rsidRDefault="00CC5B51" w:rsidP="00BC52CE">
      <w:pPr>
        <w:widowControl w:val="0"/>
        <w:autoSpaceDE w:val="0"/>
        <w:autoSpaceDN w:val="0"/>
        <w:adjustRightInd w:val="0"/>
        <w:spacing w:line="360" w:lineRule="auto"/>
        <w:rPr>
          <w:rFonts w:ascii="Arial" w:hAnsi="Arial" w:cs="Arial"/>
          <w:b/>
          <w:sz w:val="22"/>
          <w:szCs w:val="22"/>
          <w:lang w:val="en-GB"/>
        </w:rPr>
      </w:pPr>
    </w:p>
    <w:p w14:paraId="0AC6C906" w14:textId="5A640A71" w:rsidR="00CC5B51" w:rsidRDefault="00CC5B51" w:rsidP="00BC52CE">
      <w:pPr>
        <w:widowControl w:val="0"/>
        <w:autoSpaceDE w:val="0"/>
        <w:autoSpaceDN w:val="0"/>
        <w:adjustRightInd w:val="0"/>
        <w:spacing w:line="360" w:lineRule="auto"/>
        <w:rPr>
          <w:rFonts w:ascii="Arial" w:hAnsi="Arial" w:cs="Arial"/>
          <w:sz w:val="22"/>
          <w:szCs w:val="22"/>
          <w:lang w:val="en-GB"/>
        </w:rPr>
      </w:pPr>
      <w:r>
        <w:rPr>
          <w:rFonts w:ascii="Arial" w:hAnsi="Arial" w:cs="Arial"/>
          <w:b/>
          <w:sz w:val="22"/>
          <w:szCs w:val="22"/>
          <w:lang w:val="en-GB"/>
        </w:rPr>
        <w:t>Limitations:</w:t>
      </w:r>
    </w:p>
    <w:p w14:paraId="623B0304" w14:textId="77777777" w:rsidR="00CC5B51" w:rsidRDefault="00CC5B51" w:rsidP="00BC52CE">
      <w:pPr>
        <w:pStyle w:val="Lijstalinea"/>
        <w:widowControl w:val="0"/>
        <w:numPr>
          <w:ilvl w:val="0"/>
          <w:numId w:val="5"/>
        </w:numPr>
        <w:autoSpaceDE w:val="0"/>
        <w:autoSpaceDN w:val="0"/>
        <w:adjustRightInd w:val="0"/>
        <w:spacing w:line="360" w:lineRule="auto"/>
        <w:rPr>
          <w:rFonts w:ascii="Arial" w:hAnsi="Arial" w:cs="Arial"/>
          <w:sz w:val="22"/>
          <w:szCs w:val="22"/>
          <w:lang w:val="en-GB"/>
        </w:rPr>
      </w:pPr>
      <w:r>
        <w:rPr>
          <w:rFonts w:ascii="Arial" w:hAnsi="Arial" w:cs="Arial"/>
          <w:sz w:val="22"/>
          <w:szCs w:val="22"/>
          <w:lang w:val="en-GB"/>
        </w:rPr>
        <w:t>Only female individuals with dissociative identity disorder volunteered to participate in the study.</w:t>
      </w:r>
    </w:p>
    <w:p w14:paraId="615A0226" w14:textId="77777777" w:rsidR="00BC52CE" w:rsidRPr="00BC52CE" w:rsidRDefault="00CC5B51" w:rsidP="00BC52CE">
      <w:pPr>
        <w:pStyle w:val="Lijstalinea"/>
        <w:widowControl w:val="0"/>
        <w:numPr>
          <w:ilvl w:val="0"/>
          <w:numId w:val="5"/>
        </w:numPr>
        <w:autoSpaceDE w:val="0"/>
        <w:autoSpaceDN w:val="0"/>
        <w:adjustRightInd w:val="0"/>
        <w:spacing w:line="360" w:lineRule="auto"/>
        <w:rPr>
          <w:rFonts w:ascii="Arial" w:hAnsi="Arial" w:cs="Arial"/>
          <w:b/>
          <w:sz w:val="22"/>
          <w:szCs w:val="22"/>
          <w:lang w:val="en-GB"/>
        </w:rPr>
      </w:pPr>
      <w:r>
        <w:rPr>
          <w:rFonts w:ascii="Arial" w:hAnsi="Arial" w:cs="Arial"/>
          <w:sz w:val="22"/>
          <w:szCs w:val="22"/>
          <w:lang w:val="en-GB"/>
        </w:rPr>
        <w:t>W</w:t>
      </w:r>
      <w:r w:rsidRPr="00266592">
        <w:rPr>
          <w:rFonts w:ascii="Arial" w:hAnsi="Arial" w:cs="Arial"/>
          <w:sz w:val="22"/>
          <w:szCs w:val="22"/>
        </w:rPr>
        <w:t>e were not able to perform</w:t>
      </w:r>
      <w:r>
        <w:rPr>
          <w:rFonts w:ascii="Arial" w:hAnsi="Arial" w:cs="Arial"/>
          <w:sz w:val="22"/>
          <w:szCs w:val="22"/>
        </w:rPr>
        <w:t xml:space="preserve"> a regression analysis with posttraumatic stress disorder </w:t>
      </w:r>
      <w:r w:rsidRPr="00266592">
        <w:rPr>
          <w:rFonts w:ascii="Arial" w:hAnsi="Arial" w:cs="Arial"/>
          <w:sz w:val="22"/>
          <w:szCs w:val="22"/>
        </w:rPr>
        <w:t>sev</w:t>
      </w:r>
      <w:r w:rsidR="00434CF0">
        <w:rPr>
          <w:rFonts w:ascii="Arial" w:hAnsi="Arial" w:cs="Arial"/>
          <w:sz w:val="22"/>
          <w:szCs w:val="22"/>
        </w:rPr>
        <w:t>erity.</w:t>
      </w:r>
    </w:p>
    <w:p w14:paraId="23DB21C4" w14:textId="5511596C" w:rsidR="00402063" w:rsidRPr="00685FBF" w:rsidRDefault="00434CF0" w:rsidP="00685FBF">
      <w:pPr>
        <w:widowControl w:val="0"/>
        <w:autoSpaceDE w:val="0"/>
        <w:autoSpaceDN w:val="0"/>
        <w:adjustRightInd w:val="0"/>
        <w:spacing w:line="360" w:lineRule="auto"/>
        <w:rPr>
          <w:rFonts w:ascii="Arial" w:hAnsi="Arial" w:cs="Arial"/>
          <w:b/>
          <w:sz w:val="22"/>
          <w:szCs w:val="22"/>
          <w:lang w:val="en-GB"/>
        </w:rPr>
      </w:pPr>
      <w:r w:rsidRPr="00685FBF">
        <w:rPr>
          <w:rFonts w:ascii="Arial" w:hAnsi="Arial" w:cs="Arial"/>
          <w:b/>
          <w:sz w:val="22"/>
          <w:szCs w:val="22"/>
          <w:lang w:val="en-GB"/>
        </w:rPr>
        <w:br w:type="column"/>
      </w:r>
      <w:r w:rsidR="0036229C" w:rsidRPr="00685FBF">
        <w:rPr>
          <w:rFonts w:ascii="Arial" w:hAnsi="Arial" w:cs="Arial"/>
          <w:b/>
          <w:sz w:val="22"/>
          <w:szCs w:val="22"/>
          <w:lang w:val="en-GB"/>
        </w:rPr>
        <w:lastRenderedPageBreak/>
        <w:t>INTRODUCTION</w:t>
      </w:r>
    </w:p>
    <w:p w14:paraId="28AB2868" w14:textId="32D5A8A1" w:rsidR="00D36B1A" w:rsidRDefault="00402063" w:rsidP="00A263E5">
      <w:pPr>
        <w:pStyle w:val="Normaalweb"/>
        <w:spacing w:before="0" w:beforeAutospacing="0" w:after="0" w:afterAutospacing="0" w:line="360" w:lineRule="auto"/>
        <w:rPr>
          <w:rFonts w:ascii="Arial" w:hAnsi="Arial" w:cs="Arial"/>
          <w:sz w:val="22"/>
          <w:szCs w:val="22"/>
        </w:rPr>
      </w:pPr>
      <w:r w:rsidRPr="00295F63">
        <w:rPr>
          <w:rFonts w:ascii="Arial" w:hAnsi="Arial" w:cs="Arial"/>
          <w:sz w:val="22"/>
          <w:szCs w:val="22"/>
        </w:rPr>
        <w:t xml:space="preserve">Dissociative </w:t>
      </w:r>
      <w:r w:rsidRPr="00CA282E">
        <w:rPr>
          <w:rFonts w:ascii="Arial" w:hAnsi="Arial" w:cs="Arial"/>
          <w:sz w:val="22"/>
          <w:szCs w:val="22"/>
        </w:rPr>
        <w:t>Identity Disorder (DID)</w:t>
      </w:r>
      <w:r w:rsidR="005119B2" w:rsidRPr="00CA282E">
        <w:rPr>
          <w:rFonts w:ascii="Arial" w:hAnsi="Arial" w:cs="Arial"/>
          <w:sz w:val="22"/>
          <w:szCs w:val="22"/>
        </w:rPr>
        <w:t xml:space="preserve"> is </w:t>
      </w:r>
      <w:r w:rsidR="00943190" w:rsidRPr="00CA282E">
        <w:rPr>
          <w:rFonts w:ascii="Arial" w:hAnsi="Arial" w:cs="Arial"/>
          <w:sz w:val="22"/>
          <w:szCs w:val="22"/>
        </w:rPr>
        <w:t xml:space="preserve">considered </w:t>
      </w:r>
      <w:r w:rsidRPr="00CA282E">
        <w:rPr>
          <w:rFonts w:ascii="Arial" w:hAnsi="Arial" w:cs="Arial"/>
          <w:sz w:val="22"/>
          <w:szCs w:val="22"/>
        </w:rPr>
        <w:t xml:space="preserve">an </w:t>
      </w:r>
      <w:r w:rsidR="006B2E6B">
        <w:rPr>
          <w:rFonts w:ascii="Arial" w:hAnsi="Arial" w:cs="Arial"/>
          <w:color w:val="000000"/>
          <w:sz w:val="22"/>
          <w:szCs w:val="22"/>
        </w:rPr>
        <w:t xml:space="preserve">early-onset and chronic interpersonal </w:t>
      </w:r>
      <w:r w:rsidR="003A3E79">
        <w:rPr>
          <w:rFonts w:ascii="Arial" w:hAnsi="Arial" w:cs="Arial"/>
          <w:sz w:val="22"/>
          <w:szCs w:val="22"/>
        </w:rPr>
        <w:t>trauma-related disorder</w:t>
      </w:r>
      <w:r w:rsidR="00F7657D" w:rsidRPr="00CA282E">
        <w:rPr>
          <w:rFonts w:ascii="Arial" w:hAnsi="Arial" w:cs="Arial"/>
          <w:sz w:val="22"/>
          <w:szCs w:val="22"/>
        </w:rPr>
        <w:fldChar w:fldCharType="begin" w:fldLock="1"/>
      </w:r>
      <w:r w:rsidR="005F6473">
        <w:rPr>
          <w:rFonts w:ascii="Arial" w:hAnsi="Arial" w:cs="Arial"/>
          <w:sz w:val="22"/>
          <w:szCs w:val="22"/>
        </w:rPr>
        <w:instrText>ADDIN CSL_CITATION { "citationItems" : [ { "id" : "ITEM-1", "itemData" : { "DOI" : "10.1037/a0027447", "ISSN" : "1939-1455", "PMID" : "22409505", "abstract" : "The relationship between a reported history of trauma and dissociative symptoms has been explained in 2 conflicting ways. Pathological dissociation has been conceptualized as a response to antecedent traumatic stress and/or severe psychological adversity. Others have proposed that dissociation makes individuals prone to fantasy, thereby engendering confabulated memories of trauma. We examine data related to a series of 8 contrasting predictions based on the trauma model and the fantasy model of dissociation. In keeping with the trauma model, the relationship between trauma and dissociation was consistent and moderate in strength, and remained significant when objective measures of trauma were used. Dissociation was temporally related to trauma and trauma treatment, and was predictive of trauma history when fantasy proneness was controlled. Dissociation was not reliably associated with suggestibility, nor was there evidence for the fantasy model prediction of greater inaccuracy of recovered memory. Instead, dissociation was positively related to a history of trauma memory recovery and negatively related to the more general measures of narrative cohesion. Research also supports the trauma theory of dissociation as a regulatory response to fear or other extreme emotion with measurable biological correlates. We conclude, on the basis of evidence related to these 8 predictions, that there is strong empirical support for the hypothesis that trauma causes dissociation, and that dissociation remains related to trauma history when fantasy proneness is controlled. We find little support for the hypothesis that the dissociation-trauma relationship is due to fantasy proneness or confabulated memories of trauma.", "author" : [ { "dropping-particle" : "", "family" : "Dalenberg", "given" : "Constance J", "non-dropping-particle" : "", "parse-names" : false, "suffix" : "" }, { "dropping-particle" : "", "family" : "Brand", "given" : "Bethany L", "non-dropping-particle" : "", "parse-names" : false, "suffix" : "" }, { "dropping-particle" : "", "family" : "Gleaves", "given" : "David H", "non-dropping-particle" : "", "parse-names" : false, "suffix" : "" }, { "dropping-particle" : "", "family" : "Dorahy", "given" : "Martin J", "non-dropping-particle" : "", "parse-names" : false, "suffix" : "" }, { "dropping-particle" : "", "family" : "Loewenstein", "given" : "Richard J", "non-dropping-particle" : "", "parse-names" : false, "suffix" : "" }, { "dropping-particle" : "", "family" : "Carde\u00f1a", "given" : "Etzel", "non-dropping-particle" : "", "parse-names" : false, "suffix" : "" }, { "dropping-particle" : "", "family" : "Frewen", "given" : "Paul A", "non-dropping-particle" : "", "parse-names" : false, "suffix" : "" }, { "dropping-particle" : "", "family" : "Carlson", "given" : "Eve B", "non-dropping-particle" : "", "parse-names" : false, "suffix" : "" }, { "dropping-particle" : "", "family" : "Spiegel", "given" : "David", "non-dropping-particle" : "", "parse-names" : false, "suffix" : "" } ], "container-title" : "Psychological bulletin", "id" : "ITEM-1", "issue" : "3", "issued" : { "date-parts" : [ [ "2012", "5" ] ] }, "page" : "550-88", "title" : "Evaluation of the evidence for the trauma and fantasy models of dissociation.", "type" : "article-journal", "volume" : "138" }, "uris" : [ "http://www.mendeley.com/documents/?uuid=bd68b133-4d79-4f35-bf66-d5321bb4e833" ] }, { "id" : "ITEM-2", "itemData" : { "author" : [ { "dropping-particle" : "", "family" : "Nijenhuis", "given" : "Ellert R.S.", "non-dropping-particle" : "", "parse-names" : false, "suffix" : "" } ], "id" : "ITEM-2", "issued" : { "date-parts" : [ [ "2015" ] ] }, "number-of-pages" : "635", "publisher" : "Vandenhoeck &amp; Ruprecht", "publisher-place" : "G\u00f6ttingen", "title" : "The trinity of trauma: Ignorance, fragility, and control: The evolving concept of trauma / The concept and facts of dissociation in trauma", "type" : "book" }, "uris" : [ "http://www.mendeley.com/documents/?uuid=4e8d1bf7-ef06-41d6-80ef-f3efd315a620" ] }, { "id" : "ITEM-3", "itemData" : { "DOI" : "10.1002/hbm.22730", "ISSN" : "1097-0193", "PMID" : "25545784", "abstract" : "Smaller hippocampal volume has been reported in individuals with post-traumatic stress disorder (PTSD) and dissociative identity disorder (DID), but the regional specificity of hippocampal volume reductions and the association with severity of dissociative symptoms and/or childhood traumatization are still unclear. Brain structural magnetic resonance imaging scans were analyzed for 33 outpatients (17 with DID and 16 with PTSD only) and 28 healthy controls (HC), all matched for age, sex, and education. DID patients met criteria for PTSD (PTSD-DID). Hippocampal global and subfield volumes and shape measurements were extracted. We found that global hippocampal volume was significantly smaller in all 33 patients (left: 6.75%; right: 8.33%) compared with HC. PTSD-DID (left: 10.19%; right: 11.37%) and PTSD-only with a history of childhood traumatization (left: 7.11%; right: 7.31%) had significantly smaller global hippocampal volume relative to HC. PTSD-DID had abnormal shape and significantly smaller volume in the CA2-3, CA4-DG and (pre)subiculum compared with HC. In the patient groups, smaller global and subfield hippocampal volumes significantly correlated with higher severity of childhood traumatization and dissociative symptoms. These findings support a childhood trauma-related etiology for abnormal hippocampal morphology in both PTSD and DID and can further the understanding of neurobiological mechanisms involved in these disorders.", "author" : [ { "dropping-particle" : "", "family" : "Chalavi", "given" : "Sima", "non-dropping-particle" : "", "parse-names" : false, "suffix" : "" }, { "dropping-particle" : "", "family" : "Vissia", "given" : "Eline M", "non-dropping-particle" : "", "parse-names" : false, "suffix" : "" }, { "dropping-particle" : "", "family" : "Giesen", "given" : "Mechteld E", "non-dropping-particle" : "", "parse-names" : false, "suffix" : "" }, { "dropping-particle" : "", "family" : "Nijenhuis", "given" : "Ellert R S", "non-dropping-particle" : "", "parse-names" : false, "suffix" : "" }, { "dropping-particle" : "", "family" : "Draijer", "given" : "Nel", "non-dropping-particle" : "", "parse-names" : false, "suffix" : "" }, { "dropping-particle" : "", "family" : "Cole", "given" : "James H", "non-dropping-particle" : "", "parse-names" : false, "suffix" : "" }, { "dropping-particle" : "", "family" : "Dazzan", "given" : "Paola", "non-dropping-particle" : "", "parse-names" : false, "suffix" : "" }, { "dropping-particle" : "", "family" : "Pariante", "given" : "Carmine M", "non-dropping-particle" : "", "parse-names" : false, "suffix" : "" }, { "dropping-particle" : "", "family" : "Madsen", "given" : "Sarah K", "non-dropping-particle" : "", "parse-names" : false, "suffix" : "" }, { "dropping-particle" : "", "family" : "Rajagopalan", "given" : "Priya", "non-dropping-particle" : "", "parse-names" : false, "suffix" : "" }, { "dropping-particle" : "", "family" : "Thompson", "given" : "Paul M", "non-dropping-particle" : "", "parse-names" : false, "suffix" : "" }, { "dropping-particle" : "", "family" : "Toga", "given" : "Arthur W", "non-dropping-particle" : "", "parse-names" : false, "suffix" : "" }, { "dropping-particle" : "", "family" : "Veltman", "given" : "Dick J", "non-dropping-particle" : "", "parse-names" : false, "suffix" : "" }, { "dropping-particle" : "", "family" : "Reinders", "given" : "Antje A T S", "non-dropping-particle" : "", "parse-names" : false, "suffix" : "" } ], "container-title" : "Human brain mapping", "id" : "ITEM-3", "issue" : "5", "issued" : { "date-parts" : [ [ "2015", "5" ] ] }, "page" : "1692-704", "title" : "Abnormal hippocampal morphology in dissociative identity disorder and post-traumatic stress disorder correlates with childhood trauma and dissociative symptoms.", "type" : "article-journal", "volume" : "36" }, "uris" : [ "http://www.mendeley.com/documents/?uuid=13ce85ff-f6c9-4a08-887f-e45f1c7f0c95" ] }, { "id" : "ITEM-4", "itemData" : { "DOI" : "10.1016/j.pscychresns.2015.01.014", "ISSN" : "1872-7123", "PMID" : "25670646", "abstract" : "Neuroanatomical evidence on the relationship between posttraumatic stress disorder (PTSD) and dissociative disorders is still lacking. We acquired brain structural magnetic resonance imaging (MRI) scans from 17 patients with dissociative identity disorder (DID) and co-morbid PTSD (DID-PTSD) and 16 patients with PTSD but without DID (PTSD-only), and 32 healthy controls (HC), and compared their whole-brain cortical and subcortical gray matter (GM) morphological measurements. Associations between GM measurements and severity of dissociative and depersonalization/derealization symptoms or lifetime traumatizing events were evaluated in the patient groups. DID-PTSD and PTSD-only patients, compared with HC, had similarly smaller cortical GM volumes of the whole brain and of frontal, temporal and insular cortices. DID-PTSD patients additionally showed smaller hippocampal and larger pallidum volumes relative to HC, and larger putamen and pallidum volumes relative to PTSD-only. Severity of lifetime traumatizing events and volume of the hippocampus were negatively correlated. Severity of dissociative and depersonalization/derealization symptoms correlated positively with volume of the putamen and pallidum, and negatively with volume of the inferior parietal cortex. Shared abnormal brain structures in DID-PTSD and PTSD-only, small hippocampal volume in DID-PTSD, more severe lifetime traumatizing events in DID-PTSD compared with PTSD-only, and negative correlations between lifetime traumatizing events and hippocampal volume suggest a trauma-related etiology for DID. Our results provide neurobiological evidence for the side-by-side nosological classification of PTSD and DID in the DSM-5.", "author" : [ { "dropping-particle" : "", "family" : "Chalavi", "given" : "Sima", "non-dropping-particle" : "", "parse-names" : false, "suffix" : "" }, { "dropping-particle" : "", "family" : "Vissia", "given" : "Eline M", "non-dropping-particle" : "", "parse-names" : false, "suffix" : "" }, { "dropping-particle" : "", "family" : "Giesen", "given" : "Mechteld E", "non-dropping-particle" : "", "parse-names" : false, "suffix" : "" }, { "dropping-particle" : "", "family" : "Nijenhuis", "given" : "Ellert R S", "non-dropping-particle" : "", "parse-names" : false, "suffix" : "" }, { "dropping-particle" : "", "family" : "Draijer", "given" : "Nel", "non-dropping-particle" : "", "parse-names" : false, "suffix" : "" }, { "dropping-particle" : "", "family" : "Barker", "given" : "Gareth J", "non-dropping-particle" : "", "parse-names" : false, "suffix" : "" }, { "dropping-particle" : "", "family" : "Veltman", "given" : "Dick J", "non-dropping-particle" : "", "parse-names" : false, "suffix" : "" }, { "dropping-particle" : "", "family" : "Reinders", "given" : "Antje A T S", "non-dropping-particle" : "", "parse-names" : false, "suffix" : "" } ], "container-title" : "Psychiatry research", "id" : "ITEM-4", "issue" : "3", "issued" : { "date-parts" : [ [ "2015", "3", "30" ] ] }, "page" : "308-19", "title" : "Similar cortical but not subcortical gray matter abnormalities in women with posttraumatic stress disorder with versus without dissociative identity disorder.", "type" : "article-journal", "volume" : "231" }, "uris" : [ "http://www.mendeley.com/documents/?uuid=c274a8e7-d6e5-4d5f-8f0d-760c4923a452" ] }, { "id" : "ITEM-5", "itemData" : { "DOI" : "10.1111/acps.12590", "ISSN" : "1600-0447", "PMID" : "27225185", "abstract" : "OBJECTIVE The Trauma Model of dissociative identity disorder (DID) posits that DID is etiologically related to chronic neglect and physical and/or sexual abuse in childhood. In contrast, the Fantasy Model posits that DID can be simulated and is mediated by high suggestibility, fantasy proneness, and sociocultural influences. To date, these two models have not been jointly tested in individuals with DID in an empirical manner. METHOD This study included matched groups [patients (n = 33) and controls (n = 32)] that were compared on psychological Trauma and Fantasy measures: diagnosed genuine DID (DID-G, n = 17), DID-simulating healthy controls (DID-S, n = 16), individuals with post-traumatic stress disorder (PTSD, n = 16), and healthy controls (HC, n = 16). Additionally, personality-state-dependent measures were obtained for DID-G and DID-S; both neutral personality states (NPS) and trauma-related personality states (TPS) were tested. CONCLUSION For Trauma measures, the DID-G group had the highest scores, with TPS higher than NPS, followed by the PTSD, DID-S, and HC groups. The DID-G group was not more fantasy-prone or suggestible and did not generate more false memories. Malingering measures were inconclusive. Evidence consistently supported the Trauma Model of DID and challenges the core hypothesis of the Fantasy Model.", "author" : [ { "dropping-particle" : "", "family" : "Vissia", "given" : "E M", "non-dropping-particle" : "", "parse-names" : false, "suffix" : "" }, { "dropping-particle" : "", "family" : "Giesen", "given" : "M E", "non-dropping-particle" : "", "parse-names" : false, "suffix" : "" }, { "dropping-particle" : "", "family" : "Chalavi", "given" : "S", "non-dropping-particle" : "", "parse-names" : false, "suffix" : "" }, { "dropping-particle" : "", "family" : "Nijenhuis", "given" : "E R S", "non-dropping-particle" : "", "parse-names" : false, "suffix" : "" }, { "dropping-particle" : "", "family" : "Draijer", "given" : "N", "non-dropping-particle" : "", "parse-names" : false, "suffix" : "" }, { "dropping-particle" : "", "family" : "Brand", "given" : "B L", "non-dropping-particle" : "", "parse-names" : false, "suffix" : "" }, { "dropping-particle" : "", "family" : "Reinders", "given" : "A A T S", "non-dropping-particle" : "", "parse-names" : false, "suffix" : "" } ], "container-title" : "Acta psychiatrica Scandinavica", "id" : "ITEM-5", "issue" : "2", "issued" : { "date-parts" : [ [ "2016" ] ] }, "page" : "111-28", "title" : "Is it Trauma- or Fantasy-based? Comparing dissociative identity disorder, post-traumatic stress disorder, simulators, and controls.", "type" : "article-journal", "volume" : "134" }, "uris" : [ "http://www.mendeley.com/documents/?uuid=0bf0a210-dfbe-32a8-ad24-c360d62d65ad" ] }, { "id" : "ITEM-6", "itemData" : { "DOI" : "10.1111/acps.12653", "ISSN" : "0001690X", "author" : [ { "dropping-particle" : "", "family" : "Brand", "given" : "B. L.", "non-dropping-particle" : "", "parse-names" : false, "suffix" : "" }, { "dropping-particle" : "", "family" : "Vissia", "given" : "E. M.", "non-dropping-particle" : "", "parse-names" : false, "suffix" : "" }, { "dropping-particle" : "", "family" : "Chalavi", "given" : "S.", "non-dropping-particle" : "", "parse-names" : false, "suffix" : "" }, { "dropping-particle" : "", "family" : "Nijenhuis", "given" : "E. R. S.", "non-dropping-particle" : "", "parse-names" : false, "suffix" : "" }, { "dropping-particle" : "", "family" : "Webermann", "given" : "A. R.", "non-dropping-particle" : "", "parse-names" : false, "suffix" : "" }, { "dropping-particle" : "", "family" : "Draijer", "given" : "N.", "non-dropping-particle" : "", "parse-names" : false, "suffix" : "" }, { "dropping-particle" : "", "family" : "Reinders", "given" : "A. A. T. S.", "non-dropping-particle" : "", "parse-names" : false, "suffix" : "" } ], "container-title" : "Acta Psychiatrica Scandinavica", "id" : "ITEM-6", "issue" : "6", "issued" : { "date-parts" : [ [ "2016", "12" ] ] }, "page" : "560-563", "title" : "DID is trauma based: further evidence supporting the trauma model of DID", "type" : "article-journal", "volume" : "134" }, "uris" : [ "http://www.mendeley.com/documents/?uuid=006b82da-4a4b-32aa-834c-5b665770930e" ] } ], "mendeley" : { "formattedCitation" : "(1\u20136)", "plainTextFormattedCitation" : "(1\u20136)", "previouslyFormattedCitation" : "(1\u20136)" }, "properties" : { "noteIndex" : 0 }, "schema" : "https://github.com/citation-style-language/schema/raw/master/csl-citation.json" }</w:instrText>
      </w:r>
      <w:r w:rsidR="00F7657D" w:rsidRPr="00CA282E">
        <w:rPr>
          <w:rFonts w:ascii="Arial" w:hAnsi="Arial" w:cs="Arial"/>
          <w:sz w:val="22"/>
          <w:szCs w:val="22"/>
        </w:rPr>
        <w:fldChar w:fldCharType="separate"/>
      </w:r>
      <w:r w:rsidR="00374870" w:rsidRPr="00374870">
        <w:rPr>
          <w:rFonts w:ascii="Arial" w:hAnsi="Arial" w:cs="Arial"/>
          <w:noProof/>
          <w:sz w:val="22"/>
          <w:szCs w:val="22"/>
        </w:rPr>
        <w:t>(1–6)</w:t>
      </w:r>
      <w:r w:rsidR="00F7657D" w:rsidRPr="00CA282E">
        <w:rPr>
          <w:rFonts w:ascii="Arial" w:hAnsi="Arial" w:cs="Arial"/>
          <w:sz w:val="22"/>
          <w:szCs w:val="22"/>
        </w:rPr>
        <w:fldChar w:fldCharType="end"/>
      </w:r>
      <w:r w:rsidR="00F049F3">
        <w:rPr>
          <w:rFonts w:ascii="Arial" w:hAnsi="Arial" w:cs="Arial"/>
          <w:sz w:val="22"/>
          <w:szCs w:val="22"/>
        </w:rPr>
        <w:t>. F</w:t>
      </w:r>
      <w:r w:rsidR="00621558">
        <w:rPr>
          <w:rFonts w:ascii="Arial" w:hAnsi="Arial" w:cs="Arial"/>
          <w:sz w:val="22"/>
          <w:szCs w:val="22"/>
        </w:rPr>
        <w:t>or early-onset</w:t>
      </w:r>
      <w:r w:rsidR="00950BC0">
        <w:rPr>
          <w:rFonts w:ascii="Arial" w:hAnsi="Arial" w:cs="Arial"/>
          <w:sz w:val="22"/>
          <w:szCs w:val="22"/>
        </w:rPr>
        <w:t xml:space="preserve"> </w:t>
      </w:r>
      <w:r w:rsidR="00950BC0">
        <w:rPr>
          <w:rFonts w:ascii="Arial" w:hAnsi="Arial" w:cs="Arial"/>
          <w:color w:val="000000"/>
          <w:sz w:val="22"/>
          <w:szCs w:val="22"/>
        </w:rPr>
        <w:t>interpersonal</w:t>
      </w:r>
      <w:r w:rsidR="00621558">
        <w:rPr>
          <w:rFonts w:ascii="Arial" w:hAnsi="Arial" w:cs="Arial"/>
          <w:sz w:val="22"/>
          <w:szCs w:val="22"/>
        </w:rPr>
        <w:t xml:space="preserve"> trauma-related disorders </w:t>
      </w:r>
      <w:r w:rsidR="00FA6556" w:rsidRPr="00CA282E">
        <w:rPr>
          <w:rFonts w:ascii="Arial" w:hAnsi="Arial" w:cs="Arial"/>
          <w:sz w:val="22"/>
          <w:szCs w:val="22"/>
        </w:rPr>
        <w:t>it</w:t>
      </w:r>
      <w:r w:rsidR="00FA6556">
        <w:rPr>
          <w:rFonts w:ascii="Arial" w:hAnsi="Arial" w:cs="Arial"/>
          <w:sz w:val="22"/>
          <w:szCs w:val="22"/>
        </w:rPr>
        <w:t xml:space="preserve"> is</w:t>
      </w:r>
      <w:r w:rsidR="00FA6556" w:rsidRPr="00CA282E">
        <w:rPr>
          <w:rFonts w:ascii="Arial" w:hAnsi="Arial" w:cs="Arial"/>
          <w:sz w:val="22"/>
          <w:szCs w:val="22"/>
        </w:rPr>
        <w:t xml:space="preserve"> currently unknown how early traumatization affects the development of </w:t>
      </w:r>
      <w:r w:rsidR="00FA6556">
        <w:rPr>
          <w:rFonts w:ascii="Arial" w:hAnsi="Arial" w:cs="Arial"/>
          <w:sz w:val="22"/>
          <w:szCs w:val="22"/>
        </w:rPr>
        <w:t xml:space="preserve">the brain </w:t>
      </w:r>
      <w:r w:rsidR="00FA6556">
        <w:rPr>
          <w:rStyle w:val="Verwijzingopmerking"/>
          <w:rFonts w:ascii="Arial" w:eastAsia="Arial Unicode MS" w:hAnsi="Arial" w:cs="Arial"/>
          <w:color w:val="000000"/>
          <w:kern w:val="1"/>
          <w:sz w:val="22"/>
          <w:szCs w:val="22"/>
          <w:u w:color="000000"/>
          <w:bdr w:val="nil"/>
        </w:rPr>
        <w:t xml:space="preserve">and what particular aspect of the cortical neuroanatomy </w:t>
      </w:r>
      <w:r w:rsidR="009C397C">
        <w:rPr>
          <w:rStyle w:val="Verwijzingopmerking"/>
          <w:rFonts w:ascii="Arial" w:eastAsia="Arial Unicode MS" w:hAnsi="Arial" w:cs="Arial"/>
          <w:color w:val="000000"/>
          <w:kern w:val="1"/>
          <w:sz w:val="22"/>
          <w:szCs w:val="22"/>
          <w:u w:color="000000"/>
          <w:bdr w:val="nil"/>
        </w:rPr>
        <w:t xml:space="preserve">are </w:t>
      </w:r>
      <w:r w:rsidR="00FA6556">
        <w:rPr>
          <w:rStyle w:val="Verwijzingopmerking"/>
          <w:rFonts w:ascii="Arial" w:eastAsia="Arial Unicode MS" w:hAnsi="Arial" w:cs="Arial"/>
          <w:color w:val="000000"/>
          <w:kern w:val="1"/>
          <w:sz w:val="22"/>
          <w:szCs w:val="22"/>
          <w:u w:color="000000"/>
          <w:bdr w:val="nil"/>
        </w:rPr>
        <w:t>most affected</w:t>
      </w:r>
      <w:r w:rsidR="00FA6556">
        <w:rPr>
          <w:rFonts w:ascii="Arial" w:hAnsi="Arial" w:cs="Arial"/>
          <w:sz w:val="22"/>
          <w:szCs w:val="22"/>
        </w:rPr>
        <w:t>.</w:t>
      </w:r>
      <w:r w:rsidR="00D36B1A" w:rsidRPr="00CA282E">
        <w:rPr>
          <w:rFonts w:ascii="Arial" w:hAnsi="Arial" w:cs="Arial"/>
          <w:sz w:val="22"/>
          <w:szCs w:val="22"/>
        </w:rPr>
        <w:t xml:space="preserve"> </w:t>
      </w:r>
      <w:r w:rsidR="005C667F">
        <w:rPr>
          <w:rFonts w:ascii="Arial" w:hAnsi="Arial" w:cs="Arial"/>
          <w:sz w:val="22"/>
          <w:szCs w:val="22"/>
        </w:rPr>
        <w:t>A</w:t>
      </w:r>
      <w:r w:rsidR="00F049F3" w:rsidRPr="00CA282E">
        <w:rPr>
          <w:rFonts w:ascii="Arial" w:hAnsi="Arial" w:cs="Arial"/>
          <w:sz w:val="22"/>
          <w:szCs w:val="22"/>
        </w:rPr>
        <w:t>ltered stress reactivity following childhood trauma is related to altered gene expression</w:t>
      </w:r>
      <w:r w:rsidR="00F049F3">
        <w:rPr>
          <w:rStyle w:val="Verwijzingopmerking"/>
          <w:rFonts w:ascii="Arial" w:eastAsia="Arial Unicode MS" w:hAnsi="Arial" w:cs="Arial"/>
          <w:color w:val="000000"/>
          <w:kern w:val="1"/>
          <w:sz w:val="22"/>
          <w:szCs w:val="22"/>
          <w:u w:color="000000"/>
          <w:bdr w:val="nil"/>
        </w:rPr>
        <w:fldChar w:fldCharType="begin" w:fldLock="1"/>
      </w:r>
      <w:r w:rsidR="005F6473">
        <w:rPr>
          <w:rStyle w:val="Verwijzingopmerking"/>
          <w:rFonts w:ascii="Arial" w:eastAsia="Arial Unicode MS" w:hAnsi="Arial" w:cs="Arial"/>
          <w:color w:val="000000"/>
          <w:kern w:val="1"/>
          <w:sz w:val="22"/>
          <w:szCs w:val="22"/>
          <w:u w:color="000000"/>
          <w:bdr w:val="nil"/>
        </w:rPr>
        <w:instrText>ADDIN CSL_CITATION { "citationItems" : [ { "id" : "ITEM-1", "itemData" : { "DOI" : "10.1016/j.biopsych.2008.11.028", "ISSN" : "1873-2402", "PMID" : "19150054", "abstract" : "BACKGROUND: Childhood maltreatment and early trauma leave lasting imprints on neural mechanisms of cognition and emotion. With a rat model of infant maltreatment by a caregiver, we investigated whether early-life adversity leaves lasting epigenetic marks at the brain-derived neurotrophic factor (BDNF) gene in the central nervous system.\n\nMETHODS: During the first postnatal week, we exposed infant rats to stressed caretakers that predominately displayed abusive behaviors. We then assessed DNA methylation patterns and gene expression throughout the life span as well as DNA methylation patterns in the next generation of infants.\n\nRESULTS: Early maltreatment produced persisting changes in methylation of BDNF DNA that caused altered BDNF gene expression in the adult prefrontal cortex. Furthermore, we observed altered BDNF DNA methylation in offspring of females that had previously experienced the maltreatment regimen.\n\nCONCLUSIONS: These results highlight an epigenetic molecular mechanism potentially underlying lifelong and transgenerational perpetuation of changes in gene expression and behavior incited by early abuse and neglect.", "author" : [ { "dropping-particle" : "", "family" : "Roth", "given" : "Tania L", "non-dropping-particle" : "", "parse-names" : false, "suffix" : "" }, { "dropping-particle" : "", "family" : "Lubin", "given" : "Farah D", "non-dropping-particle" : "", "parse-names" : false, "suffix" : "" }, { "dropping-particle" : "", "family" : "Funk", "given" : "Adam J", "non-dropping-particle" : "", "parse-names" : false, "suffix" : "" }, { "dropping-particle" : "", "family" : "Sweatt", "given" : "J David", "non-dropping-particle" : "", "parse-names" : false, "suffix" : "" } ], "container-title" : "Biological psychiatry", "id" : "ITEM-1", "issue" : "9", "issued" : { "date-parts" : [ [ "2009", "5", "1" ] ] }, "page" : "760-9", "title" : "Lasting epigenetic influence of early-life adversity on the BDNF gene.", "type" : "article-journal", "volume" : "65" }, "uris" : [ "http://www.mendeley.com/documents/?uuid=91041631-d3d8-4dc1-81b4-ccd1d418ec9b" ] } ], "mendeley" : { "formattedCitation" : "(7)", "plainTextFormattedCitation" : "(7)", "previouslyFormattedCitation" : "(7)" }, "properties" : { "noteIndex" : 0 }, "schema" : "https://github.com/citation-style-language/schema/raw/master/csl-citation.json" }</w:instrText>
      </w:r>
      <w:r w:rsidR="00F049F3">
        <w:rPr>
          <w:rStyle w:val="Verwijzingopmerking"/>
          <w:rFonts w:ascii="Arial" w:eastAsia="Arial Unicode MS" w:hAnsi="Arial" w:cs="Arial"/>
          <w:color w:val="000000"/>
          <w:kern w:val="1"/>
          <w:sz w:val="22"/>
          <w:szCs w:val="22"/>
          <w:u w:color="000000"/>
          <w:bdr w:val="nil"/>
        </w:rPr>
        <w:fldChar w:fldCharType="separate"/>
      </w:r>
      <w:r w:rsidR="00374870" w:rsidRPr="00374870">
        <w:rPr>
          <w:rStyle w:val="Verwijzingopmerking"/>
          <w:rFonts w:ascii="Arial" w:eastAsia="Arial Unicode MS" w:hAnsi="Arial" w:cs="Arial"/>
          <w:noProof/>
          <w:color w:val="000000"/>
          <w:kern w:val="1"/>
          <w:sz w:val="22"/>
          <w:szCs w:val="22"/>
          <w:u w:color="000000"/>
          <w:bdr w:val="nil"/>
        </w:rPr>
        <w:t>(7)</w:t>
      </w:r>
      <w:r w:rsidR="00F049F3">
        <w:rPr>
          <w:rStyle w:val="Verwijzingopmerking"/>
          <w:rFonts w:ascii="Arial" w:eastAsia="Arial Unicode MS" w:hAnsi="Arial" w:cs="Arial"/>
          <w:color w:val="000000"/>
          <w:kern w:val="1"/>
          <w:sz w:val="22"/>
          <w:szCs w:val="22"/>
          <w:u w:color="000000"/>
          <w:bdr w:val="nil"/>
        </w:rPr>
        <w:fldChar w:fldCharType="end"/>
      </w:r>
      <w:r w:rsidR="00F049F3">
        <w:rPr>
          <w:rFonts w:ascii="Arial" w:hAnsi="Arial" w:cs="Arial"/>
          <w:sz w:val="22"/>
          <w:szCs w:val="22"/>
        </w:rPr>
        <w:t xml:space="preserve">, thus suggesting that </w:t>
      </w:r>
      <w:r w:rsidR="00F049F3" w:rsidRPr="00CA282E">
        <w:rPr>
          <w:rFonts w:ascii="Arial" w:hAnsi="Arial" w:cs="Arial"/>
          <w:sz w:val="22"/>
          <w:szCs w:val="22"/>
        </w:rPr>
        <w:t xml:space="preserve">early life </w:t>
      </w:r>
      <w:r w:rsidR="00F049F3">
        <w:rPr>
          <w:rFonts w:ascii="Arial" w:hAnsi="Arial" w:cs="Arial"/>
          <w:sz w:val="22"/>
          <w:szCs w:val="22"/>
        </w:rPr>
        <w:t>stressors may have</w:t>
      </w:r>
      <w:r w:rsidR="00F049F3" w:rsidRPr="00CA282E">
        <w:rPr>
          <w:rFonts w:ascii="Arial" w:hAnsi="Arial" w:cs="Arial"/>
          <w:sz w:val="22"/>
          <w:szCs w:val="22"/>
        </w:rPr>
        <w:t xml:space="preserve"> long-lasting detrimental effects on neurobiology and </w:t>
      </w:r>
      <w:r w:rsidR="00F049F3">
        <w:rPr>
          <w:rFonts w:ascii="Arial" w:hAnsi="Arial" w:cs="Arial"/>
          <w:sz w:val="22"/>
          <w:szCs w:val="22"/>
        </w:rPr>
        <w:t>foster</w:t>
      </w:r>
      <w:r w:rsidR="00F049F3" w:rsidRPr="00CA282E">
        <w:rPr>
          <w:rFonts w:ascii="Arial" w:hAnsi="Arial" w:cs="Arial"/>
          <w:sz w:val="22"/>
          <w:szCs w:val="22"/>
        </w:rPr>
        <w:t xml:space="preserve"> development of trauma-related psychopathology</w:t>
      </w:r>
      <w:r w:rsidR="00F049F3" w:rsidRPr="00CA282E">
        <w:rPr>
          <w:rFonts w:ascii="Arial" w:hAnsi="Arial" w:cs="Arial"/>
          <w:sz w:val="22"/>
          <w:szCs w:val="22"/>
        </w:rPr>
        <w:fldChar w:fldCharType="begin" w:fldLock="1"/>
      </w:r>
      <w:r w:rsidR="005F6473">
        <w:rPr>
          <w:rFonts w:ascii="Arial" w:hAnsi="Arial" w:cs="Arial"/>
          <w:sz w:val="22"/>
          <w:szCs w:val="22"/>
        </w:rPr>
        <w:instrText>ADDIN CSL_CITATION { "citationItems" : [ { "id" : "ITEM-1", "itemData" : { "DOI" : "10.1038/ncomms10967", "ISSN" : "2041-1723", "PMID" : "26997371", "abstract" : "DNA methylation likely plays a role in the regulation of human stress reactivity. Here we show that in a genome-wide analysis of blood DNA methylation in 85 healthy individuals, a locus in the Kit ligand gene (KITLG; cg27512205) showed the strongest association with cortisol stress reactivity (P=5.8 \u00d7 10(-6)). Replication was obtained in two independent samples using either blood (N=45, P=0.001) or buccal cells (N=255, P=0.004). KITLG methylation strongly mediates the relationship between childhood trauma and cortisol stress reactivity in the discovery sample (32% mediation). Its genomic location, a CpG island shore within an H3K27ac enhancer mark, and the correlation between methylation in the blood and prefrontal cortex provide further evidence that KITLG methylation is functionally relevant for the programming of stress reactivity in the human brain. Our results extend preclinical evidence for epigenetic regulation of stress reactivity to humans and provide leads to enhance our understanding of the neurobiological pathways underlying stress vulnerability.", "author" : [ { "dropping-particle" : "", "family" : "Houtepen", "given" : "Lotte C", "non-dropping-particle" : "", "parse-names" : false, "suffix" : "" }, { "dropping-particle" : "", "family" : "Vinkers", "given" : "Christiaan H", "non-dropping-particle" : "", "parse-names" : false, "suffix" : "" }, { "dropping-particle" : "", "family" : "Carrillo-Roa", "given" : "Tania", "non-dropping-particle" : "", "parse-names" : false, "suffix" : "" }, { "dropping-particle" : "", "family" : "Hiemstra", "given" : "Marieke", "non-dropping-particle" : "", "parse-names" : false, "suffix" : "" }, { "dropping-particle" : "", "family" : "Lier", "given" : "Pol A", "non-dropping-particle" : "van", "parse-names" : false, "suffix" : "" }, { "dropping-particle" : "", "family" : "Meeus", "given" : "Wim", "non-dropping-particle" : "", "parse-names" : false, "suffix" : "" }, { "dropping-particle" : "", "family" : "Branje", "given" : "Susan", "non-dropping-particle" : "", "parse-names" : false, "suffix" : "" }, { "dropping-particle" : "", "family" : "Heim", "given" : "Christine M", "non-dropping-particle" : "", "parse-names" : false, "suffix" : "" }, { "dropping-particle" : "", "family" : "Nemeroff", "given" : "Charles B", "non-dropping-particle" : "", "parse-names" : false, "suffix" : "" }, { "dropping-particle" : "", "family" : "Mill", "given" : "Jonathan", "non-dropping-particle" : "", "parse-names" : false, "suffix" : "" }, { "dropping-particle" : "", "family" : "Schalkwyk", "given" : "Leonard C", "non-dropping-particle" : "", "parse-names" : false, "suffix" : "" }, { "dropping-particle" : "", "family" : "Creyghton", "given" : "Menno P", "non-dropping-particle" : "", "parse-names" : false, "suffix" : "" }, { "dropping-particle" : "", "family" : "Kahn", "given" : "Ren\u00e9 S", "non-dropping-particle" : "", "parse-names" : false, "suffix" : "" }, { "dropping-particle" : "", "family" : "Jo\u00ebls", "given" : "Marian", "non-dropping-particle" : "", "parse-names" : false, "suffix" : "" }, { "dropping-particle" : "", "family" : "Binder", "given" : "Elisabeth B", "non-dropping-particle" : "", "parse-names" : false, "suffix" : "" }, { "dropping-particle" : "", "family" : "Boks", "given" : "Marco P M", "non-dropping-particle" : "", "parse-names" : false, "suffix" : "" } ], "container-title" : "Nature communications", "id" : "ITEM-1", "issued" : { "date-parts" : [ [ "2016", "1" ] ] }, "page" : "10967", "title" : "Genome-wide DNA methylation levels and altered cortisol stress reactivity following childhood trauma in humans.", "type" : "article-journal", "volume" : "7" }, "uris" : [ "http://www.mendeley.com/documents/?uuid=2dcd1c3e-7742-492e-bc1e-68b78a44b43a" ] } ], "mendeley" : { "formattedCitation" : "(8)", "plainTextFormattedCitation" : "(8)", "previouslyFormattedCitation" : "(8)" }, "properties" : { "noteIndex" : 0 }, "schema" : "https://github.com/citation-style-language/schema/raw/master/csl-citation.json" }</w:instrText>
      </w:r>
      <w:r w:rsidR="00F049F3" w:rsidRPr="00CA282E">
        <w:rPr>
          <w:rFonts w:ascii="Arial" w:hAnsi="Arial" w:cs="Arial"/>
          <w:sz w:val="22"/>
          <w:szCs w:val="22"/>
        </w:rPr>
        <w:fldChar w:fldCharType="separate"/>
      </w:r>
      <w:r w:rsidR="00374870" w:rsidRPr="00374870">
        <w:rPr>
          <w:rFonts w:ascii="Arial" w:hAnsi="Arial" w:cs="Arial"/>
          <w:noProof/>
          <w:sz w:val="22"/>
          <w:szCs w:val="22"/>
        </w:rPr>
        <w:t>(8)</w:t>
      </w:r>
      <w:r w:rsidR="00F049F3" w:rsidRPr="00CA282E">
        <w:rPr>
          <w:rFonts w:ascii="Arial" w:hAnsi="Arial" w:cs="Arial"/>
          <w:sz w:val="22"/>
          <w:szCs w:val="22"/>
        </w:rPr>
        <w:fldChar w:fldCharType="end"/>
      </w:r>
      <w:r w:rsidR="00F049F3">
        <w:rPr>
          <w:rFonts w:ascii="Arial" w:hAnsi="Arial" w:cs="Arial"/>
          <w:sz w:val="22"/>
          <w:szCs w:val="22"/>
        </w:rPr>
        <w:t xml:space="preserve"> such as DID</w:t>
      </w:r>
      <w:r w:rsidR="00F049F3" w:rsidRPr="00CA282E">
        <w:rPr>
          <w:rFonts w:ascii="Arial" w:hAnsi="Arial" w:cs="Arial"/>
          <w:sz w:val="22"/>
          <w:szCs w:val="22"/>
        </w:rPr>
        <w:t xml:space="preserve">. </w:t>
      </w:r>
      <w:r w:rsidR="00D0466B">
        <w:rPr>
          <w:rFonts w:ascii="Arial" w:hAnsi="Arial" w:cs="Arial"/>
          <w:sz w:val="22"/>
          <w:szCs w:val="22"/>
        </w:rPr>
        <w:t>A</w:t>
      </w:r>
      <w:r w:rsidR="00D0466B" w:rsidRPr="00295F63">
        <w:rPr>
          <w:rFonts w:ascii="Arial" w:hAnsi="Arial" w:cs="Arial"/>
          <w:sz w:val="22"/>
          <w:szCs w:val="22"/>
        </w:rPr>
        <w:t xml:space="preserve"> novel spatially-unbiased vertex-wise </w:t>
      </w:r>
      <w:r w:rsidR="00D0466B">
        <w:rPr>
          <w:rFonts w:ascii="Arial" w:hAnsi="Arial" w:cs="Arial"/>
          <w:sz w:val="22"/>
          <w:szCs w:val="22"/>
        </w:rPr>
        <w:t xml:space="preserve">method that </w:t>
      </w:r>
      <w:r w:rsidR="00D0466B" w:rsidRPr="00295F63">
        <w:rPr>
          <w:rFonts w:ascii="Arial" w:hAnsi="Arial" w:cs="Arial"/>
          <w:sz w:val="22"/>
          <w:szCs w:val="22"/>
        </w:rPr>
        <w:t>examine</w:t>
      </w:r>
      <w:r w:rsidR="00D0466B">
        <w:rPr>
          <w:rFonts w:ascii="Arial" w:hAnsi="Arial" w:cs="Arial"/>
          <w:sz w:val="22"/>
          <w:szCs w:val="22"/>
        </w:rPr>
        <w:t>s</w:t>
      </w:r>
      <w:r w:rsidR="00D0466B" w:rsidRPr="00295F63">
        <w:rPr>
          <w:rFonts w:ascii="Arial" w:hAnsi="Arial" w:cs="Arial"/>
          <w:sz w:val="22"/>
          <w:szCs w:val="22"/>
        </w:rPr>
        <w:t xml:space="preserve"> </w:t>
      </w:r>
      <w:r w:rsidR="00D0466B">
        <w:rPr>
          <w:rFonts w:ascii="Arial" w:hAnsi="Arial" w:cs="Arial"/>
          <w:sz w:val="22"/>
          <w:szCs w:val="22"/>
        </w:rPr>
        <w:t>r</w:t>
      </w:r>
      <w:r w:rsidR="00D0466B" w:rsidRPr="00295F63">
        <w:rPr>
          <w:rFonts w:ascii="Arial" w:hAnsi="Arial" w:cs="Arial"/>
          <w:sz w:val="22"/>
          <w:szCs w:val="22"/>
        </w:rPr>
        <w:t>egional diffe</w:t>
      </w:r>
      <w:r w:rsidR="004402BB">
        <w:rPr>
          <w:rFonts w:ascii="Arial" w:hAnsi="Arial" w:cs="Arial"/>
          <w:sz w:val="22"/>
          <w:szCs w:val="22"/>
        </w:rPr>
        <w:t>rences in cortical volume</w:t>
      </w:r>
      <w:r w:rsidR="00D0466B">
        <w:rPr>
          <w:rFonts w:ascii="Arial" w:hAnsi="Arial" w:cs="Arial"/>
          <w:sz w:val="22"/>
          <w:szCs w:val="22"/>
        </w:rPr>
        <w:t xml:space="preserve"> o</w:t>
      </w:r>
      <w:r w:rsidR="00D0466B" w:rsidRPr="00295F63">
        <w:rPr>
          <w:rFonts w:ascii="Arial" w:hAnsi="Arial" w:cs="Arial"/>
          <w:sz w:val="22"/>
          <w:szCs w:val="22"/>
        </w:rPr>
        <w:t>n the</w:t>
      </w:r>
      <w:r w:rsidR="00D0466B">
        <w:rPr>
          <w:rFonts w:ascii="Arial" w:hAnsi="Arial" w:cs="Arial"/>
          <w:sz w:val="22"/>
          <w:szCs w:val="22"/>
        </w:rPr>
        <w:t xml:space="preserve"> </w:t>
      </w:r>
      <w:r w:rsidR="00D0466B" w:rsidRPr="00295F63">
        <w:rPr>
          <w:rFonts w:ascii="Arial" w:hAnsi="Arial" w:cs="Arial"/>
          <w:sz w:val="22"/>
          <w:szCs w:val="22"/>
        </w:rPr>
        <w:t xml:space="preserve">basis of its two </w:t>
      </w:r>
      <w:r w:rsidR="00D0466B">
        <w:rPr>
          <w:rFonts w:ascii="Arial" w:hAnsi="Arial" w:cs="Arial"/>
          <w:sz w:val="22"/>
          <w:szCs w:val="22"/>
        </w:rPr>
        <w:t xml:space="preserve">different neurodevelopmentally driven </w:t>
      </w:r>
      <w:r w:rsidR="00D0466B" w:rsidRPr="00295F63">
        <w:rPr>
          <w:rFonts w:ascii="Arial" w:hAnsi="Arial" w:cs="Arial"/>
          <w:sz w:val="22"/>
          <w:szCs w:val="22"/>
        </w:rPr>
        <w:t>constituent co</w:t>
      </w:r>
      <w:r w:rsidR="004402BB">
        <w:rPr>
          <w:rFonts w:ascii="Arial" w:hAnsi="Arial" w:cs="Arial"/>
          <w:sz w:val="22"/>
          <w:szCs w:val="22"/>
        </w:rPr>
        <w:t>mponents</w:t>
      </w:r>
      <w:r w:rsidR="0050630B">
        <w:rPr>
          <w:rFonts w:ascii="Arial" w:hAnsi="Arial" w:cs="Arial"/>
          <w:sz w:val="22"/>
          <w:szCs w:val="22"/>
        </w:rPr>
        <w:t>,</w:t>
      </w:r>
      <w:r w:rsidR="004402BB">
        <w:rPr>
          <w:rFonts w:ascii="Arial" w:hAnsi="Arial" w:cs="Arial"/>
          <w:sz w:val="22"/>
          <w:szCs w:val="22"/>
        </w:rPr>
        <w:t xml:space="preserve"> cortical thickness and surface area</w:t>
      </w:r>
      <w:r w:rsidR="0050630B">
        <w:rPr>
          <w:rFonts w:ascii="Arial" w:hAnsi="Arial" w:cs="Arial"/>
          <w:sz w:val="22"/>
          <w:szCs w:val="22"/>
        </w:rPr>
        <w:t>,</w:t>
      </w:r>
      <w:r w:rsidR="00D0466B">
        <w:rPr>
          <w:rFonts w:ascii="Arial" w:hAnsi="Arial" w:cs="Arial"/>
          <w:sz w:val="22"/>
          <w:szCs w:val="22"/>
        </w:rPr>
        <w:t xml:space="preserve"> has become available</w:t>
      </w:r>
      <w:r w:rsidR="00D0466B">
        <w:rPr>
          <w:rFonts w:ascii="Arial" w:hAnsi="Arial" w:cs="Arial"/>
          <w:sz w:val="22"/>
          <w:szCs w:val="22"/>
        </w:rPr>
        <w:fldChar w:fldCharType="begin" w:fldLock="1"/>
      </w:r>
      <w:r w:rsidR="005F6473">
        <w:rPr>
          <w:rFonts w:ascii="Arial" w:hAnsi="Arial" w:cs="Arial"/>
          <w:sz w:val="22"/>
          <w:szCs w:val="22"/>
        </w:rPr>
        <w:instrText>ADDIN CSL_CITATION { "citationItems" : [ { "id" : "ITEM-1", "itemData" : { "DOI" : "10.1001/jamapsychiatry.2013.265", "ISSN" : "2168-6238", "PMID" : "23404046", "abstract" : "CONTEXT: Neuroimaging studies of brain anatomy in autism spectrum disorder (ASD) have mostly been based on measures of cortical volume (CV). However, CV is a product of 2 distinct parameters, cortical thickness (CT) and surface area (SA), that in turn have distinct genetic and developmental origins. OBJECTIVE: To investigate regional differences in CV, SA, and CT as well as their relationship in a large and well-characterized sample of men with ASD and matched controls. DESIGN: Multicenter case-control design using quantitative magnetic resonance imaging. SETTING: Medical Research Council UK Autism Imaging Multicentre Study. PARTICIPANTS: A total of 168 men, 84 diagnosed as having ASD and 84 controls who did not differ significantly in mean (SD) age (26 [7] years vs 28 [6] years, respectively) or full-scale IQ (110 [14] vs 114 [12], respectively). MAIN OUTCOME MEASURES: Between-group differences in CV, SA, and CT investigated using a spatially unbiased vertex-based approach; the degree of spatial overlap between the differences in CT and SA; and their relative contribution to differences in regional CV. RESULTS: Individuals with ASD differed from controls in all 3 parameters. These mainly consisted of significantly increased CT within frontal lobe regions and reduced SA in the orbitofrontal cortex and posterior cingulum. These differences in CT and SA were paralleled by commensurate differences in CV. The spatially distributed patterns for CT and SA were largely nonoverlapping and shared only about 3% of all significantly different locations on the cerebral surface. CONCLUSIONS: Individuals with ASD have significant differences in CV, but these may be underpinned by (separable) variations in its 2 components, CT and SA. This is of importance because both measures result from distinct developmental pathways that are likely modulated by different neurobiological mechanisms. This finding may provide novel targets for future studies into the etiology of the condition and a new way to fractionate the disorder.", "author" : [ { "dropping-particle" : "", "family" : "Ecker", "given" : "Christine", "non-dropping-particle" : "", "parse-names" : false, "suffix" : "" }, { "dropping-particle" : "", "family" : "Ginestet", "given" : "Cedric", "non-dropping-particle" : "", "parse-names" : false, "suffix" : "" }, { "dropping-particle" : "", "family" : "Feng", "given" : "Yue", "non-dropping-particle" : "", "parse-names" : false, "suffix" : "" }, { "dropping-particle" : "", "family" : "Johnston", "given" : "Patrick", "non-dropping-particle" : "", "parse-names" : false, "suffix" : "" }, { "dropping-particle" : "V", "family" : "Lombardo", "given" : "Michael", "non-dropping-particle" : "", "parse-names" : false, "suffix" : "" }, { "dropping-particle" : "", "family" : "Lai", "given" : "Meng-Chuan", "non-dropping-particle" : "", "parse-names" : false, "suffix" : "" }, { "dropping-particle" : "", "family" : "Suckling", "given" : "John", "non-dropping-particle" : "", "parse-names" : false, "suffix" : "" }, { "dropping-particle" : "", "family" : "Palaniyappan", "given" : "Lena", "non-dropping-particle" : "", "parse-names" : false, "suffix" : "" }, { "dropping-particle" : "", "family" : "Daly", "given" : "Eileen", "non-dropping-particle" : "", "parse-names" : false, "suffix" : "" }, { "dropping-particle" : "", "family" : "Murphy", "given" : "Clodagh M", "non-dropping-particle" : "", "parse-names" : false, "suffix" : "" }, { "dropping-particle" : "", "family" : "Williams", "given" : "Steven C", "non-dropping-particle" : "", "parse-names" : false, "suffix" : "" }, { "dropping-particle" : "", "family" : "Bullmore", "given" : "Edward T", "non-dropping-particle" : "", "parse-names" : false, "suffix" : "" }, { "dropping-particle" : "", "family" : "Baron-Cohen", "given" : "Simon", "non-dropping-particle" : "", "parse-names" : false, "suffix" : "" }, { "dropping-particle" : "", "family" : "Brammer", "given" : "Michael", "non-dropping-particle" : "", "parse-names" : false, "suffix" : "" }, { "dropping-particle" : "", "family" : "Murphy", "given" : "Declan G M", "non-dropping-particle" : "", "parse-names" : false, "suffix" : "" } ], "container-title" : "JAMA psychiatry", "id" : "ITEM-1", "issue" : "1", "issued" : { "date-parts" : [ [ "2013", "1" ] ] }, "page" : "59-70", "title" : "Brain surface anatomy in adults with autism: the relationship between surface area, cortical thickness, and autistic symptoms.", "type" : "article-journal", "volume" : "70" }, "uris" : [ "http://www.mendeley.com/documents/?uuid=7a09f991-c810-478a-ae25-8f1feef63aa8" ] } ], "mendeley" : { "formattedCitation" : "(9)", "plainTextFormattedCitation" : "(9)", "previouslyFormattedCitation" : "(9)" }, "properties" : { "noteIndex" : 0 }, "schema" : "https://github.com/citation-style-language/schema/raw/master/csl-citation.json" }</w:instrText>
      </w:r>
      <w:r w:rsidR="00D0466B">
        <w:rPr>
          <w:rFonts w:ascii="Arial" w:hAnsi="Arial" w:cs="Arial"/>
          <w:sz w:val="22"/>
          <w:szCs w:val="22"/>
        </w:rPr>
        <w:fldChar w:fldCharType="separate"/>
      </w:r>
      <w:r w:rsidR="00374870" w:rsidRPr="00374870">
        <w:rPr>
          <w:rFonts w:ascii="Arial" w:hAnsi="Arial" w:cs="Arial"/>
          <w:noProof/>
          <w:sz w:val="22"/>
          <w:szCs w:val="22"/>
        </w:rPr>
        <w:t>(9)</w:t>
      </w:r>
      <w:r w:rsidR="00D0466B">
        <w:rPr>
          <w:rFonts w:ascii="Arial" w:hAnsi="Arial" w:cs="Arial"/>
          <w:sz w:val="22"/>
          <w:szCs w:val="22"/>
        </w:rPr>
        <w:fldChar w:fldCharType="end"/>
      </w:r>
      <w:r w:rsidR="00D0466B">
        <w:rPr>
          <w:rFonts w:ascii="Arial" w:hAnsi="Arial" w:cs="Arial"/>
          <w:sz w:val="22"/>
          <w:szCs w:val="22"/>
        </w:rPr>
        <w:t xml:space="preserve">. </w:t>
      </w:r>
      <w:r w:rsidR="00D36B1A">
        <w:rPr>
          <w:rFonts w:ascii="Arial" w:hAnsi="Arial" w:cs="Arial"/>
          <w:sz w:val="22"/>
          <w:szCs w:val="22"/>
        </w:rPr>
        <w:t>Examining the brain in DID</w:t>
      </w:r>
      <w:r w:rsidR="00D5247E">
        <w:rPr>
          <w:rFonts w:ascii="Arial" w:hAnsi="Arial" w:cs="Arial"/>
          <w:sz w:val="22"/>
          <w:szCs w:val="22"/>
        </w:rPr>
        <w:t xml:space="preserve"> </w:t>
      </w:r>
      <w:r w:rsidR="00621558">
        <w:rPr>
          <w:rFonts w:ascii="Arial" w:hAnsi="Arial" w:cs="Arial"/>
          <w:sz w:val="22"/>
          <w:szCs w:val="22"/>
        </w:rPr>
        <w:t xml:space="preserve">using </w:t>
      </w:r>
      <w:r w:rsidR="00D0466B">
        <w:rPr>
          <w:rFonts w:ascii="Arial" w:hAnsi="Arial" w:cs="Arial"/>
          <w:sz w:val="22"/>
          <w:szCs w:val="22"/>
        </w:rPr>
        <w:t xml:space="preserve">this method </w:t>
      </w:r>
      <w:r w:rsidR="00D36B1A">
        <w:rPr>
          <w:rFonts w:ascii="Arial" w:hAnsi="Arial" w:cs="Arial"/>
          <w:sz w:val="22"/>
          <w:szCs w:val="22"/>
        </w:rPr>
        <w:t xml:space="preserve">may therefore provide important new insights into the neurobiological </w:t>
      </w:r>
      <w:r w:rsidR="00621558">
        <w:rPr>
          <w:rFonts w:ascii="Arial" w:hAnsi="Arial" w:cs="Arial"/>
          <w:sz w:val="22"/>
          <w:szCs w:val="22"/>
        </w:rPr>
        <w:t>development in early</w:t>
      </w:r>
      <w:r w:rsidR="00BC64FD">
        <w:rPr>
          <w:rFonts w:ascii="Arial" w:hAnsi="Arial" w:cs="Arial"/>
          <w:sz w:val="22"/>
          <w:szCs w:val="22"/>
        </w:rPr>
        <w:t>-</w:t>
      </w:r>
      <w:r w:rsidR="001B26C8">
        <w:rPr>
          <w:rFonts w:ascii="Arial" w:hAnsi="Arial" w:cs="Arial"/>
          <w:sz w:val="22"/>
          <w:szCs w:val="22"/>
        </w:rPr>
        <w:t>onset</w:t>
      </w:r>
      <w:r w:rsidR="00621558">
        <w:rPr>
          <w:rFonts w:ascii="Arial" w:hAnsi="Arial" w:cs="Arial"/>
          <w:sz w:val="22"/>
          <w:szCs w:val="22"/>
        </w:rPr>
        <w:t xml:space="preserve"> trauma-related disorders. </w:t>
      </w:r>
    </w:p>
    <w:p w14:paraId="04873060" w14:textId="0BBECC93" w:rsidR="00373F3F" w:rsidRDefault="00B02131" w:rsidP="00A263E5">
      <w:pPr>
        <w:spacing w:line="360" w:lineRule="auto"/>
        <w:ind w:firstLine="720"/>
        <w:rPr>
          <w:rFonts w:ascii="Arial" w:hAnsi="Arial" w:cs="Arial"/>
          <w:sz w:val="22"/>
          <w:szCs w:val="22"/>
        </w:rPr>
      </w:pPr>
      <w:r w:rsidRPr="00CA282E">
        <w:rPr>
          <w:rFonts w:ascii="Arial" w:hAnsi="Arial" w:cs="Arial"/>
          <w:bCs/>
          <w:sz w:val="22"/>
          <w:szCs w:val="22"/>
        </w:rPr>
        <w:t>DID</w:t>
      </w:r>
      <w:r w:rsidRPr="00CA282E">
        <w:rPr>
          <w:rFonts w:ascii="Arial" w:hAnsi="Arial" w:cs="Arial"/>
          <w:sz w:val="22"/>
          <w:szCs w:val="22"/>
        </w:rPr>
        <w:t xml:space="preserve"> is a psychiatric disorder </w:t>
      </w:r>
      <w:r w:rsidR="006177F6">
        <w:rPr>
          <w:rFonts w:ascii="Arial" w:hAnsi="Arial" w:cs="Arial"/>
          <w:sz w:val="22"/>
          <w:szCs w:val="22"/>
        </w:rPr>
        <w:t xml:space="preserve">involving </w:t>
      </w:r>
      <w:r w:rsidRPr="00CA282E">
        <w:rPr>
          <w:rFonts w:ascii="Arial" w:hAnsi="Arial" w:cs="Arial"/>
          <w:sz w:val="22"/>
          <w:szCs w:val="22"/>
        </w:rPr>
        <w:t xml:space="preserve">two or more </w:t>
      </w:r>
      <w:r w:rsidR="006177F6">
        <w:rPr>
          <w:rFonts w:ascii="Arial" w:hAnsi="Arial" w:cs="Arial"/>
          <w:sz w:val="22"/>
          <w:szCs w:val="22"/>
        </w:rPr>
        <w:t xml:space="preserve">dissociative </w:t>
      </w:r>
      <w:r w:rsidRPr="00CA282E">
        <w:rPr>
          <w:rFonts w:ascii="Arial" w:hAnsi="Arial" w:cs="Arial"/>
          <w:sz w:val="22"/>
          <w:szCs w:val="22"/>
        </w:rPr>
        <w:t>personality states, recurrent gaps in the recall of everyday events or important personal information, and/or traumatic events that are inconsistent with ordinary forgetting, which is not related to substance abuse or general medication</w:t>
      </w:r>
      <w:r w:rsidRPr="00CA282E">
        <w:rPr>
          <w:rFonts w:ascii="Arial" w:hAnsi="Arial" w:cs="Arial"/>
          <w:sz w:val="22"/>
          <w:szCs w:val="22"/>
        </w:rPr>
        <w:fldChar w:fldCharType="begin" w:fldLock="1"/>
      </w:r>
      <w:r w:rsidR="005F6473">
        <w:rPr>
          <w:rFonts w:ascii="Arial" w:hAnsi="Arial" w:cs="Arial"/>
          <w:sz w:val="22"/>
          <w:szCs w:val="22"/>
        </w:rPr>
        <w:instrText>ADDIN CSL_CITATION { "citationItems" : [ { "id" : "ITEM-1", "itemData" : { "author" : [ { "dropping-particle" : "", "family" : "APA", "given" : "", "non-dropping-particle" : "", "parse-names" : false, "suffix" : "" } ], "container-title" : "American Psychiatric Association", "id" : "ITEM-1", "issued" : { "date-parts" : [ [ "2013" ] ] }, "page" : "Fifth Edition. Arlington, VA.", "title" : "American Psychiatric Association: Diagnostic and Statistical Manual of Mental Disorders, DSM-5", "type" : "webpage" }, "uris" : [ "http://www.mendeley.com/documents/?uuid=91c8652a-0ccf-42c7-86fd-3d1052ccc018" ] } ], "mendeley" : { "formattedCitation" : "(10)", "plainTextFormattedCitation" : "(10)", "previouslyFormattedCitation" : "(10)" }, "properties" : { "noteIndex" : 0 }, "schema" : "https://github.com/citation-style-language/schema/raw/master/csl-citation.json" }</w:instrText>
      </w:r>
      <w:r w:rsidRPr="00CA282E">
        <w:rPr>
          <w:rFonts w:ascii="Arial" w:hAnsi="Arial" w:cs="Arial"/>
          <w:sz w:val="22"/>
          <w:szCs w:val="22"/>
        </w:rPr>
        <w:fldChar w:fldCharType="separate"/>
      </w:r>
      <w:r w:rsidR="00374870" w:rsidRPr="00374870">
        <w:rPr>
          <w:rFonts w:ascii="Arial" w:hAnsi="Arial" w:cs="Arial"/>
          <w:noProof/>
          <w:sz w:val="22"/>
          <w:szCs w:val="22"/>
        </w:rPr>
        <w:t>(10)</w:t>
      </w:r>
      <w:r w:rsidRPr="00CA282E">
        <w:rPr>
          <w:rFonts w:ascii="Arial" w:hAnsi="Arial" w:cs="Arial"/>
          <w:sz w:val="22"/>
          <w:szCs w:val="22"/>
        </w:rPr>
        <w:fldChar w:fldCharType="end"/>
      </w:r>
      <w:r w:rsidRPr="00CA282E">
        <w:rPr>
          <w:rFonts w:ascii="Arial" w:hAnsi="Arial" w:cs="Arial"/>
          <w:sz w:val="22"/>
          <w:szCs w:val="22"/>
        </w:rPr>
        <w:t>. Prevalence of DID is approximately 1% among women in the general population</w:t>
      </w:r>
      <w:r w:rsidRPr="00CA282E">
        <w:rPr>
          <w:rFonts w:ascii="Arial" w:hAnsi="Arial" w:cs="Arial"/>
          <w:sz w:val="22"/>
          <w:szCs w:val="22"/>
        </w:rPr>
        <w:fldChar w:fldCharType="begin" w:fldLock="1"/>
      </w:r>
      <w:r w:rsidR="005F6473">
        <w:rPr>
          <w:rFonts w:ascii="Arial" w:hAnsi="Arial" w:cs="Arial"/>
          <w:sz w:val="22"/>
          <w:szCs w:val="22"/>
        </w:rPr>
        <w:instrText>ADDIN CSL_CITATION { "citationItems" : [ { "id" : "ITEM-1", "itemData" : { "DOI" : "10.1016/j.psychres.2006.01.005", "ISSN" : "0165-1781", "PMID" : "17157389", "abstract" : "This study sought to determine the prevalence of dissociative disorders among women in the general population, as assessed in a representative sample of a city in central Turkey. The Dissociative Disorders Interview Schedule (DDIS), the Borderline Personality Disorder section of the Structured Clinical Interview for DSM-III-R Personality Disorders (SCID-II), and the PTSD-Module of the Structured Clinical Interview for DSM-III-R (SCID) were administered to 628 women in 500 homes. The mean age of participants was 34.8 (S.D.=11.5, range: 18-65); 18.3% of participants (n=115) had a lifetime diagnosis of a dissociative disorder. Dissociative disorder not otherwise specified (DDNOS) was the most prevalent diagnosis (8.3%); 1.1% of the population was diagnosed as having dissociative identity disorder (DID). Participants with a dissociative disorder had borderline personality disorder, somatization disorder, major depression, PTSD, and history of suicide attempt more frequently than did participants without a dissociative disorder. Childhood sexual abuse, physical neglect, and emotional abuse were significant predictors of a dissociative disorder diagnosis. Only 28.7% of the dissociative participants had received psychiatric treatment previously. Because dissociative disorders are trauma-related, significant part of the adult clinical consequences of childhood trauma remains obscure in the minds of mental health professionals and of the overall community. Revisions in diagnostic criteria of dissociative disorders in the DSM-IV are recommended.", "author" : [ { "dropping-particle" : "", "family" : "Sar", "given" : "Vedat", "non-dropping-particle" : "", "parse-names" : false, "suffix" : "" }, { "dropping-particle" : "", "family" : "Aky\u00fcz", "given" : "Gamze", "non-dropping-particle" : "", "parse-names" : false, "suffix" : "" }, { "dropping-particle" : "", "family" : "Do\u011fan", "given" : "Orhan", "non-dropping-particle" : "", "parse-names" : false, "suffix" : "" } ], "container-title" : "Psychiatry research", "id" : "ITEM-1", "issue" : "1-3", "issued" : { "date-parts" : [ [ "2007", "1", "15" ] ] }, "page" : "169-76", "title" : "Prevalence of dissociative disorders among women in the general population.", "type" : "article-journal", "volume" : "149" }, "uris" : [ "http://www.mendeley.com/documents/?uuid=7548abc9-8c67-493e-a47a-b8c729cdc754" ] } ], "mendeley" : { "formattedCitation" : "(11)", "plainTextFormattedCitation" : "(11)", "previouslyFormattedCitation" : "(11)" }, "properties" : { "noteIndex" : 0 }, "schema" : "https://github.com/citation-style-language/schema/raw/master/csl-citation.json" }</w:instrText>
      </w:r>
      <w:r w:rsidRPr="00CA282E">
        <w:rPr>
          <w:rFonts w:ascii="Arial" w:hAnsi="Arial" w:cs="Arial"/>
          <w:sz w:val="22"/>
          <w:szCs w:val="22"/>
        </w:rPr>
        <w:fldChar w:fldCharType="separate"/>
      </w:r>
      <w:r w:rsidR="00374870" w:rsidRPr="00374870">
        <w:rPr>
          <w:rFonts w:ascii="Arial" w:hAnsi="Arial" w:cs="Arial"/>
          <w:noProof/>
          <w:sz w:val="22"/>
          <w:szCs w:val="22"/>
        </w:rPr>
        <w:t>(11)</w:t>
      </w:r>
      <w:r w:rsidRPr="00CA282E">
        <w:rPr>
          <w:rFonts w:ascii="Arial" w:hAnsi="Arial" w:cs="Arial"/>
          <w:sz w:val="22"/>
          <w:szCs w:val="22"/>
        </w:rPr>
        <w:fldChar w:fldCharType="end"/>
      </w:r>
      <w:r w:rsidRPr="00CA282E">
        <w:rPr>
          <w:rFonts w:ascii="Arial" w:hAnsi="Arial" w:cs="Arial"/>
          <w:sz w:val="22"/>
          <w:szCs w:val="22"/>
        </w:rPr>
        <w:t xml:space="preserve"> and 6% in psychiatric outpatients</w:t>
      </w:r>
      <w:r w:rsidRPr="00CA282E">
        <w:rPr>
          <w:rFonts w:ascii="Arial" w:hAnsi="Arial" w:cs="Arial"/>
          <w:sz w:val="22"/>
          <w:szCs w:val="22"/>
        </w:rPr>
        <w:fldChar w:fldCharType="begin" w:fldLock="1"/>
      </w:r>
      <w:r w:rsidR="005F6473">
        <w:rPr>
          <w:rFonts w:ascii="Arial" w:hAnsi="Arial" w:cs="Arial"/>
          <w:sz w:val="22"/>
          <w:szCs w:val="22"/>
        </w:rPr>
        <w:instrText>ADDIN CSL_CITATION { "citationItems" : [ { "id" : "ITEM-1", "itemData" : { "DOI" : "10.1176/appi.ajp.163.4.623", "ISSN" : "0002-953X", "PMID" : "16585436", "abstract" : "OBJECTIVE: The purpose of the study was to assess the prevalence of DSM-IV dissociative disorders in an inner-city outpatient psychiatric population. METHOD: Subjects were 231 consecutive admissions (84 men and 147 women, mean age=37 years) to an inner-city, hospital-based outpatient psychiatric clinic. The subjects completed self-report measures of dissociation (Dissociative Experiences Scale) and trauma history (Traumatic Experiences Questionnaire). Eighty-two patients (35%) completed a structured interview for dissociative disorders (Dissociative Disorders Interview Schedule). RESULTS: The 82 patients who were interviewed did not differ significantly on any demographic measure or on the self-report measures of trauma and dissociation from the 149 patients who were not interviewed. Twenty-four (29%) of the 82 interviewed patients received a diagnosis of a dissociative disorder. Dissociative identity disorder was diagnosed in five (6%) patients. Compared to the patients without a dissociative disorder diagnosis, patients with a dissociative disorder were significantly more likely to report childhood physical abuse (71% versus 27%) and childhood sexual abuse (74% versus 29%), but the two groups did not differ significantly on any demographic measure, including gender. Chart review revealed that only four (5%) patients in whom a dissociative disorder was identified during the study had previously received a dissociative disorder diagnosis. CONCLUSIONS: Dissociative disorders were highly prevalent in this clinical population and typically had not been previously diagnosed clinically. The high prevalence of dissociative disorders found in this study may be related to methodological factors (all patients were offered an interview rather than only those who had scored high on a screening self-report measure) and epidemiological factors (extremely high prevalence rates for childhood physical and sexual abuse were present in the overall study population).", "author" : [ { "dropping-particle" : "", "family" : "Foote", "given" : "Brad", "non-dropping-particle" : "", "parse-names" : false, "suffix" : "" }, { "dropping-particle" : "", "family" : "Smolin", "given" : "Yvette", "non-dropping-particle" : "", "parse-names" : false, "suffix" : "" }, { "dropping-particle" : "", "family" : "Kaplan", "given" : "Margaret", "non-dropping-particle" : "", "parse-names" : false, "suffix" : "" }, { "dropping-particle" : "", "family" : "Legatt", "given" : "Michael E", "non-dropping-particle" : "", "parse-names" : false, "suffix" : "" }, { "dropping-particle" : "", "family" : "Lipschitz", "given" : "Deborah", "non-dropping-particle" : "", "parse-names" : false, "suffix" : "" } ], "container-title" : "The American journal of psychiatry", "id" : "ITEM-1", "issue" : "4", "issued" : { "date-parts" : [ [ "2006", "4" ] ] }, "page" : "623-9", "title" : "Prevalence of dissociative disorders in psychiatric outpatients.", "type" : "article-journal", "volume" : "163" }, "uris" : [ "http://www.mendeley.com/documents/?uuid=425af910-6637-46ab-a315-9ad5348dd8a4" ] } ], "mendeley" : { "formattedCitation" : "(12)", "plainTextFormattedCitation" : "(12)", "previouslyFormattedCitation" : "(12)" }, "properties" : { "noteIndex" : 0 }, "schema" : "https://github.com/citation-style-language/schema/raw/master/csl-citation.json" }</w:instrText>
      </w:r>
      <w:r w:rsidRPr="00CA282E">
        <w:rPr>
          <w:rFonts w:ascii="Arial" w:hAnsi="Arial" w:cs="Arial"/>
          <w:sz w:val="22"/>
          <w:szCs w:val="22"/>
        </w:rPr>
        <w:fldChar w:fldCharType="separate"/>
      </w:r>
      <w:r w:rsidR="00374870" w:rsidRPr="00374870">
        <w:rPr>
          <w:rFonts w:ascii="Arial" w:hAnsi="Arial" w:cs="Arial"/>
          <w:noProof/>
          <w:sz w:val="22"/>
          <w:szCs w:val="22"/>
        </w:rPr>
        <w:t>(12)</w:t>
      </w:r>
      <w:r w:rsidRPr="00CA282E">
        <w:rPr>
          <w:rFonts w:ascii="Arial" w:hAnsi="Arial" w:cs="Arial"/>
          <w:sz w:val="22"/>
          <w:szCs w:val="22"/>
        </w:rPr>
        <w:fldChar w:fldCharType="end"/>
      </w:r>
      <w:r w:rsidRPr="00CA282E">
        <w:rPr>
          <w:rFonts w:ascii="Arial" w:hAnsi="Arial" w:cs="Arial"/>
          <w:sz w:val="22"/>
          <w:szCs w:val="22"/>
        </w:rPr>
        <w:t>.</w:t>
      </w:r>
      <w:r w:rsidR="006E0C75">
        <w:rPr>
          <w:rFonts w:ascii="Arial" w:hAnsi="Arial" w:cs="Arial"/>
          <w:sz w:val="22"/>
          <w:szCs w:val="22"/>
        </w:rPr>
        <w:t xml:space="preserve"> </w:t>
      </w:r>
      <w:r w:rsidR="003A3E79">
        <w:rPr>
          <w:rFonts w:ascii="Arial" w:hAnsi="Arial" w:cs="Arial"/>
          <w:sz w:val="22"/>
          <w:szCs w:val="22"/>
        </w:rPr>
        <w:t xml:space="preserve">However, </w:t>
      </w:r>
      <w:r w:rsidR="006E0C75" w:rsidRPr="00CA282E">
        <w:rPr>
          <w:rFonts w:ascii="Arial" w:hAnsi="Arial" w:cs="Arial"/>
          <w:sz w:val="22"/>
          <w:szCs w:val="22"/>
        </w:rPr>
        <w:t>few neuroimaging studies have examined the neuroanatomical correlates of DID</w:t>
      </w:r>
      <w:r w:rsidR="003E0C78">
        <w:rPr>
          <w:rFonts w:ascii="Arial" w:hAnsi="Arial" w:cs="Arial"/>
          <w:sz w:val="22"/>
          <w:szCs w:val="22"/>
        </w:rPr>
        <w:t xml:space="preserve">. </w:t>
      </w:r>
      <w:r w:rsidR="00D4449B">
        <w:rPr>
          <w:rFonts w:ascii="Arial" w:hAnsi="Arial" w:cs="Arial"/>
          <w:sz w:val="22"/>
          <w:szCs w:val="22"/>
        </w:rPr>
        <w:t>Previous s</w:t>
      </w:r>
      <w:r w:rsidR="00402063" w:rsidRPr="00295F63">
        <w:rPr>
          <w:rFonts w:ascii="Arial" w:hAnsi="Arial" w:cs="Arial"/>
          <w:sz w:val="22"/>
          <w:szCs w:val="22"/>
        </w:rPr>
        <w:t xml:space="preserve">tudies </w:t>
      </w:r>
      <w:r w:rsidR="006E0C75">
        <w:rPr>
          <w:rFonts w:ascii="Arial" w:hAnsi="Arial" w:cs="Arial"/>
          <w:sz w:val="22"/>
          <w:szCs w:val="22"/>
        </w:rPr>
        <w:t>examining</w:t>
      </w:r>
      <w:r w:rsidR="00402063" w:rsidRPr="00295F63">
        <w:rPr>
          <w:rFonts w:ascii="Arial" w:hAnsi="Arial" w:cs="Arial"/>
          <w:sz w:val="22"/>
          <w:szCs w:val="22"/>
        </w:rPr>
        <w:t xml:space="preserve"> </w:t>
      </w:r>
      <w:r w:rsidR="00A84DD1" w:rsidRPr="00295F63">
        <w:rPr>
          <w:rFonts w:ascii="Arial" w:hAnsi="Arial" w:cs="Arial"/>
          <w:sz w:val="22"/>
          <w:szCs w:val="22"/>
        </w:rPr>
        <w:t xml:space="preserve">neuroanatomical </w:t>
      </w:r>
      <w:r w:rsidR="009F79E9" w:rsidRPr="00295F63">
        <w:rPr>
          <w:rFonts w:ascii="Arial" w:hAnsi="Arial" w:cs="Arial"/>
          <w:sz w:val="22"/>
          <w:szCs w:val="22"/>
        </w:rPr>
        <w:t>alterations</w:t>
      </w:r>
      <w:r w:rsidR="00A84DD1" w:rsidRPr="00295F63">
        <w:rPr>
          <w:rFonts w:ascii="Arial" w:hAnsi="Arial" w:cs="Arial"/>
          <w:sz w:val="22"/>
          <w:szCs w:val="22"/>
        </w:rPr>
        <w:t xml:space="preserve"> in DID</w:t>
      </w:r>
      <w:r w:rsidR="00763A3D" w:rsidRPr="00295F63">
        <w:rPr>
          <w:rFonts w:ascii="Arial" w:hAnsi="Arial" w:cs="Arial"/>
          <w:sz w:val="22"/>
          <w:szCs w:val="22"/>
        </w:rPr>
        <w:t xml:space="preserve"> </w:t>
      </w:r>
      <w:r w:rsidR="006E0C75">
        <w:rPr>
          <w:rFonts w:ascii="Arial" w:hAnsi="Arial" w:cs="Arial"/>
          <w:sz w:val="22"/>
          <w:szCs w:val="22"/>
        </w:rPr>
        <w:t>mostly focused</w:t>
      </w:r>
      <w:r w:rsidR="009F79E9" w:rsidRPr="00295F63">
        <w:rPr>
          <w:rFonts w:ascii="Arial" w:hAnsi="Arial" w:cs="Arial"/>
          <w:sz w:val="22"/>
          <w:szCs w:val="22"/>
        </w:rPr>
        <w:t xml:space="preserve"> on</w:t>
      </w:r>
      <w:r w:rsidR="00763A3D" w:rsidRPr="00295F63">
        <w:rPr>
          <w:rFonts w:ascii="Arial" w:hAnsi="Arial" w:cs="Arial"/>
          <w:sz w:val="22"/>
          <w:szCs w:val="22"/>
        </w:rPr>
        <w:t xml:space="preserve"> </w:t>
      </w:r>
      <w:r w:rsidR="00925D4A" w:rsidRPr="00295F63">
        <w:rPr>
          <w:rFonts w:ascii="Arial" w:hAnsi="Arial" w:cs="Arial"/>
          <w:sz w:val="22"/>
          <w:szCs w:val="22"/>
        </w:rPr>
        <w:t>subcortical</w:t>
      </w:r>
      <w:r w:rsidR="00421BE2" w:rsidRPr="00295F63">
        <w:rPr>
          <w:rFonts w:ascii="Arial" w:hAnsi="Arial" w:cs="Arial"/>
          <w:sz w:val="22"/>
          <w:szCs w:val="22"/>
        </w:rPr>
        <w:t xml:space="preserve"> regions</w:t>
      </w:r>
      <w:r w:rsidR="00763A3D" w:rsidRPr="00295F63">
        <w:rPr>
          <w:rFonts w:ascii="Arial" w:hAnsi="Arial" w:cs="Arial"/>
          <w:sz w:val="22"/>
          <w:szCs w:val="22"/>
        </w:rPr>
        <w:fldChar w:fldCharType="begin" w:fldLock="1"/>
      </w:r>
      <w:r w:rsidR="00521D67">
        <w:rPr>
          <w:rFonts w:ascii="Arial" w:hAnsi="Arial" w:cs="Arial"/>
          <w:sz w:val="22"/>
          <w:szCs w:val="22"/>
        </w:rPr>
        <w:instrText>ADDIN CSL_CITATION { "citationItems" : [ { "id" : "ITEM-1", "itemData" : { "ISSN" : "1067-3229", "PMID" : "10471251", "author" : [ { "dropping-particle" : "", "family" : "Tsai", "given" : "G E", "non-dropping-particle" : "", "parse-names" : false, "suffix" : "" }, { "dropping-particle" : "", "family" : "Condie", "given" : "D", "non-dropping-particle" : "", "parse-names" : false, "suffix" : "" }, { "dropping-particle" : "", "family" : "Wu", "given" : "M T", "non-dropping-particle" : "", "parse-names" : false, "suffix" : "" }, { "dropping-particle" : "", "family" : "Chang", "given" : "I W", "non-dropping-particle" : "", "parse-names" : false, "suffix" : "" } ], "container-title" : "Harvard review of psychiatry", "id" : "ITEM-1", "issue" : "2", "issued" : { "date-parts" : [ [ "1999" ] ] }, "page" : "119-22", "title" : "Functional magnetic resonance imaging of personality switches in a woman with dissociative identity disorder.", "type" : "article-journal", "volume" : "7" }, "uris" : [ "http://www.mendeley.com/documents/?uuid=a843b637-09e6-4652-a3fe-c8dc913f5385" ] }, { "id" : "ITEM-2", "itemData" : { "DOI" : "10.1176/ajp.2006.163.4.630", "ISSN" : "0002-953X", "PMID" : "16585437", "abstract" : "OBJECTIVE: Smaller hippocampal volume has been reported in several stress-related psychiatric disorders, including posttraumatic stress disorder (PTSD), borderline personality disorder with early abuse, and depression with early abuse. Patients with borderline personality disorder and early abuse have also been found to have smaller amygdalar volume. The authors examined hippocampal and amygdalar volumes in patients with dissociative identity disorder, a disorder that has been associated with a history of severe childhood trauma.\n\nMETHOD: The authors used magnetic resonance imaging to measure the volumes of the hippocampus and amygdala in 15 female patients with dissociative identity disorder and 23 female subjects without dissociative identity disorder or any other psychiatric disorder. The volumetric measurements for the two groups were compared.\n\nRESULTS: Hippocampal volume was 19.2% smaller and amygdalar volume was 31.6% smaller in the patients with dissociative identity disorder, compared to the healthy subjects. The ratio of hippocampal volume to amygdalar volume was significantly different between groups.\n\nCONCLUSIONS: The findings are consistent with the presence of smaller hippocampal and amygdalar volumes in patients with dissociative identity disorder, compared with healthy subjects.", "author" : [ { "dropping-particle" : "", "family" : "Vermetten", "given" : "Eric", "non-dropping-particle" : "", "parse-names" : false, "suffix" : "" }, { "dropping-particle" : "", "family" : "Schmahl", "given" : "Christian", "non-dropping-particle" : "", "parse-names" : false, "suffix" : "" }, { "dropping-particle" : "", "family" : "Lindner", "given" : "Sanneke", "non-dropping-particle" : "", "parse-names" : false, "suffix" : "" }, { "dropping-particle" : "", "family" : "Loewenstein", "given" : "Richard J", "non-dropping-particle" : "", "parse-names" : false, "suffix" : "" }, { "dropping-particle" : "", "family" : "Bremner", "given" : "J Douglas", "non-dropping-particle" : "", "parse-names" : false, "suffix" : "" } ], "container-title" : "The American journal of psychiatry", "id" : "ITEM-2", "issue" : "4", "issued" : { "date-parts" : [ [ "2006", "4" ] ] }, "page" : "630-6", "title" : "Hippocampal and amygdalar volumes in dissociative identity disorder.", "type" : "article-journal", "volume" : "163" }, "uris" : [ "http://www.mendeley.com/documents/?uuid=f01d3bac-727a-40f7-9b45-47fca3b43689" ] }, { "id" : "ITEM-3", "itemData" : { "DOI" : "10.1016/S0079-6123(07)67029-0", "ISSN" : "0079-6123", "PMID" : "18037031", "abstract" : "Based on findings in traumatized animals and patients with posttraumatic stress disorder, and on traumatogenic models of complex dissociative disorders, it was hypothesized that (1) patients with complex dissociative disorders have smaller volumes of hippocampus, parahippocampal gyrus, and amygdala than normal controls, (2) these volumes are associated with severity of psychoform and somatoform dissociative symptoms, and (3) patients who recovered from dissociative identity disorder (DID) have more hippocampal volume that patients with florid DID. The preliminary findings of the study are supportive of these hypotheses. Psychotherapy for dissociative disorders may affect hippocampal volume, but longitudinal studies are required to document this potential causal relationship.", "author" : [ { "dropping-particle" : "", "family" : "Ehling", "given" : "T", "non-dropping-particle" : "", "parse-names" : false, "suffix" : "" }, { "dropping-particle" : "", "family" : "Nijenhuis", "given" : "E R S", "non-dropping-particle" : "", "parse-names" : false, "suffix" : "" }, { "dropping-particle" : "", "family" : "Krikke", "given" : "A P", "non-dropping-particle" : "", "parse-names" : false, "suffix" : "" } ], "container-title" : "Progress in brain research", "id" : "ITEM-3", "issued" : { "date-parts" : [ [ "2008", "1" ] ] }, "page" : "307-10", "title" : "Volume of discrete brain structures in complex dissociative disorders: preliminary findings.", "type" : "article-journal", "volume" : "167" }, "uris" : [ "http://www.mendeley.com/documents/?uuid=88a03c50-395f-45bf-bb66-52ab01c9e4de" ] }, { "id" : "ITEM-4", "itemData" : { "DOI" : "10.1002/hbm.22730", "ISSN" : "1097-0193", "PMID" : "25545784", "abstract" : "Smaller hippocampal volume has been reported in individuals with post-traumatic stress disorder (PTSD) and dissociative identity disorder (DID), but the regional specificity of hippocampal volume reductions and the association with severity of dissociative symptoms and/or childhood traumatization are still unclear. Brain structural magnetic resonance imaging scans were analyzed for 33 outpatients (17 with DID and 16 with PTSD only) and 28 healthy controls (HC), all matched for age, sex, and education. DID patients met criteria for PTSD (PTSD-DID). Hippocampal global and subfield volumes and shape measurements were extracted. We found that global hippocampal volume was significantly smaller in all 33 patients (left: 6.75%; right: 8.33%) compared with HC. PTSD-DID (left: 10.19%; right: 11.37%) and PTSD-only with a history of childhood traumatization (left: 7.11%; right: 7.31%) had significantly smaller global hippocampal volume relative to HC. PTSD-DID had abnormal shape and significantly smaller volume in the CA2-3, CA4-DG and (pre)subiculum compared with HC. In the patient groups, smaller global and subfield hippocampal volumes significantly correlated with higher severity of childhood traumatization and dissociative symptoms. These findings support a childhood trauma-related etiology for abnormal hippocampal morphology in both PTSD and DID and can further the understanding of neurobiological mechanisms involved in these disorders.", "author" : [ { "dropping-particle" : "", "family" : "Chalavi", "given" : "Sima", "non-dropping-particle" : "", "parse-names" : false, "suffix" : "" }, { "dropping-particle" : "", "family" : "Vissia", "given" : "Eline M", "non-dropping-particle" : "", "parse-names" : false, "suffix" : "" }, { "dropping-particle" : "", "family" : "Giesen", "given" : "Mechteld E", "non-dropping-particle" : "", "parse-names" : false, "suffix" : "" }, { "dropping-particle" : "", "family" : "Nijenhuis", "given" : "Ellert R S", "non-dropping-particle" : "", "parse-names" : false, "suffix" : "" }, { "dropping-particle" : "", "family" : "Draijer", "given" : "Nel", "non-dropping-particle" : "", "parse-names" : false, "suffix" : "" }, { "dropping-particle" : "", "family" : "Cole", "given" : "James H", "non-dropping-particle" : "", "parse-names" : false, "suffix" : "" }, { "dropping-particle" : "", "family" : "Dazzan", "given" : "Paola", "non-dropping-particle" : "", "parse-names" : false, "suffix" : "" }, { "dropping-particle" : "", "family" : "Pariante", "given" : "Carmine M", "non-dropping-particle" : "", "parse-names" : false, "suffix" : "" }, { "dropping-particle" : "", "family" : "Madsen", "given" : "Sarah K", "non-dropping-particle" : "", "parse-names" : false, "suffix" : "" }, { "dropping-particle" : "", "family" : "Rajagopalan", "given" : "Priya", "non-dropping-particle" : "", "parse-names" : false, "suffix" : "" }, { "dropping-particle" : "", "family" : "Thompson", "given" : "Paul M", "non-dropping-particle" : "", "parse-names" : false, "suffix" : "" }, { "dropping-particle" : "", "family" : "Toga", "given" : "Arthur W", "non-dropping-particle" : "", "parse-names" : false, "suffix" : "" }, { "dropping-particle" : "", "family" : "Veltman", "given" : "Dick J", "non-dropping-particle" : "", "parse-names" : false, "suffix" : "" }, { "dropping-particle" : "", "family" : "Reinders", "given" : "Antje A T S", "non-dropping-particle" : "", "parse-names" : false, "suffix" : "" } ], "container-title" : "Human brain mapping", "id" : "ITEM-4", "issue" : "5", "issued" : { "date-parts" : [ [ "2015", "5" ] ] }, "page" : "1692-704", "title" : "Abnormal hippocampal morphology in dissociative identity disorder and post-traumatic stress disorder correlates with childhood trauma and dissociative symptoms.", "type" : "article-journal", "volume" : "36" }, "uris" : [ "http://www.mendeley.com/documents/?uuid=13ce85ff-f6c9-4a08-887f-e45f1c7f0c95" ] } ], "mendeley" : { "formattedCitation" : "(3,13\u201315)", "plainTextFormattedCitation" : "(3,13\u201315)", "previouslyFormattedCitation" : "(3,13\u201315)" }, "properties" : { "noteIndex" : 0 }, "schema" : "https://github.com/citation-style-language/schema/raw/master/csl-citation.json" }</w:instrText>
      </w:r>
      <w:r w:rsidR="00763A3D" w:rsidRPr="00295F63">
        <w:rPr>
          <w:rFonts w:ascii="Arial" w:hAnsi="Arial" w:cs="Arial"/>
          <w:sz w:val="22"/>
          <w:szCs w:val="22"/>
        </w:rPr>
        <w:fldChar w:fldCharType="separate"/>
      </w:r>
      <w:r w:rsidR="0026613A" w:rsidRPr="0026613A">
        <w:rPr>
          <w:rFonts w:ascii="Arial" w:hAnsi="Arial" w:cs="Arial"/>
          <w:noProof/>
          <w:sz w:val="22"/>
          <w:szCs w:val="22"/>
        </w:rPr>
        <w:t>(3,13–15)</w:t>
      </w:r>
      <w:r w:rsidR="00763A3D" w:rsidRPr="00295F63">
        <w:rPr>
          <w:rFonts w:ascii="Arial" w:hAnsi="Arial" w:cs="Arial"/>
          <w:sz w:val="22"/>
          <w:szCs w:val="22"/>
        </w:rPr>
        <w:fldChar w:fldCharType="end"/>
      </w:r>
      <w:r w:rsidR="00402063" w:rsidRPr="00295F63">
        <w:rPr>
          <w:rFonts w:ascii="Arial" w:hAnsi="Arial" w:cs="Arial"/>
          <w:sz w:val="22"/>
          <w:szCs w:val="22"/>
        </w:rPr>
        <w:t>.</w:t>
      </w:r>
      <w:r w:rsidR="00E100E3">
        <w:rPr>
          <w:rFonts w:ascii="Arial" w:hAnsi="Arial" w:cs="Arial"/>
          <w:sz w:val="22"/>
          <w:szCs w:val="22"/>
        </w:rPr>
        <w:t xml:space="preserve"> </w:t>
      </w:r>
      <w:r w:rsidR="00F4784A">
        <w:rPr>
          <w:rFonts w:ascii="Arial" w:hAnsi="Arial" w:cs="Arial"/>
          <w:sz w:val="22"/>
          <w:szCs w:val="22"/>
        </w:rPr>
        <w:t>However, a</w:t>
      </w:r>
      <w:r w:rsidR="00373F3F" w:rsidRPr="000D01FD">
        <w:rPr>
          <w:rFonts w:ascii="Arial" w:hAnsi="Arial" w:cs="Arial"/>
          <w:sz w:val="22"/>
          <w:szCs w:val="22"/>
        </w:rPr>
        <w:t xml:space="preserve"> </w:t>
      </w:r>
      <w:r w:rsidR="00C86B90">
        <w:rPr>
          <w:rFonts w:ascii="Arial" w:hAnsi="Arial" w:cs="Arial"/>
          <w:sz w:val="22"/>
          <w:szCs w:val="22"/>
        </w:rPr>
        <w:t xml:space="preserve">recent </w:t>
      </w:r>
      <w:r w:rsidR="00373F3F" w:rsidRPr="000D01FD">
        <w:rPr>
          <w:rFonts w:ascii="Arial" w:hAnsi="Arial" w:cs="Arial"/>
          <w:sz w:val="22"/>
          <w:szCs w:val="22"/>
        </w:rPr>
        <w:t>study by our group</w:t>
      </w:r>
      <w:r w:rsidR="00373F3F" w:rsidRPr="000D01FD">
        <w:rPr>
          <w:rFonts w:ascii="Arial" w:hAnsi="Arial" w:cs="Arial"/>
          <w:sz w:val="22"/>
          <w:szCs w:val="22"/>
        </w:rPr>
        <w:fldChar w:fldCharType="begin" w:fldLock="1"/>
      </w:r>
      <w:r w:rsidR="00A408CF">
        <w:rPr>
          <w:rFonts w:ascii="Arial" w:hAnsi="Arial" w:cs="Arial"/>
          <w:sz w:val="22"/>
          <w:szCs w:val="22"/>
        </w:rPr>
        <w:instrText>ADDIN CSL_CITATION { "citationItems" : [ { "id" : "ITEM-1", "itemData" : { "DOI" : "10.1016/j.pscychresns.2015.01.014", "ISSN" : "1872-7123", "PMID" : "25670646", "abstract" : "Neuroanatomical evidence on the relationship between posttraumatic stress disorder (PTSD) and dissociative disorders is still lacking. We acquired brain structural magnetic resonance imaging (MRI) scans from 17 patients with dissociative identity disorder (DID) and co-morbid PTSD (DID-PTSD) and 16 patients with PTSD but without DID (PTSD-only), and 32 healthy controls (HC), and compared their whole-brain cortical and subcortical gray matter (GM) morphological measurements. Associations between GM measurements and severity of dissociative and depersonalization/derealization symptoms or lifetime traumatizing events were evaluated in the patient groups. DID-PTSD and PTSD-only patients, compared with HC, had similarly smaller cortical GM volumes of the whole brain and of frontal, temporal and insular cortices. DID-PTSD patients additionally showed smaller hippocampal and larger pallidum volumes relative to HC, and larger putamen and pallidum volumes relative to PTSD-only. Severity of lifetime traumatizing events and volume of the hippocampus were negatively correlated. Severity of dissociative and depersonalization/derealization symptoms correlated positively with volume of the putamen and pallidum, and negatively with volume of the inferior parietal cortex. Shared abnormal brain structures in DID-PTSD and PTSD-only, small hippocampal volume in DID-PTSD, more severe lifetime traumatizing events in DID-PTSD compared with PTSD-only, and negative correlations between lifetime traumatizing events and hippocampal volume suggest a trauma-related etiology for DID. Our results provide neurobiological evidence for the side-by-side nosological classification of PTSD and DID in the DSM-5.", "author" : [ { "dropping-particle" : "", "family" : "Chalavi", "given" : "Sima", "non-dropping-particle" : "", "parse-names" : false, "suffix" : "" }, { "dropping-particle" : "", "family" : "Vissia", "given" : "Eline M", "non-dropping-particle" : "", "parse-names" : false, "suffix" : "" }, { "dropping-particle" : "", "family" : "Giesen", "given" : "Mechteld E", "non-dropping-particle" : "", "parse-names" : false, "suffix" : "" }, { "dropping-particle" : "", "family" : "Nijenhuis", "given" : "Ellert R S", "non-dropping-particle" : "", "parse-names" : false, "suffix" : "" }, { "dropping-particle" : "", "family" : "Draijer", "given" : "Nel", "non-dropping-particle" : "", "parse-names" : false, "suffix" : "" }, { "dropping-particle" : "", "family" : "Barker", "given" : "Gareth J", "non-dropping-particle" : "", "parse-names" : false, "suffix" : "" }, { "dropping-particle" : "", "family" : "Veltman", "given" : "Dick J", "non-dropping-particle" : "", "parse-names" : false, "suffix" : "" }, { "dropping-particle" : "", "family" : "Reinders", "given" : "Antje A T S", "non-dropping-particle" : "", "parse-names" : false, "suffix" : "" } ], "container-title" : "Psychiatry research", "id" : "ITEM-1", "issue" : "3", "issued" : { "date-parts" : [ [ "2015", "3", "30" ] ] }, "page" : "308-19", "title" : "Similar cortical but not subcortical gray matter abnormalities in women with posttraumatic stress disorder with versus without dissociative identity disorder.", "type" : "article-journal", "volume" : "231" }, "uris" : [ "http://www.mendeley.com/documents/?uuid=c274a8e7-d6e5-4d5f-8f0d-760c4923a452" ] } ], "mendeley" : { "formattedCitation" : "(4)", "plainTextFormattedCitation" : "(4)", "previouslyFormattedCitation" : "(4)" }, "properties" : { "noteIndex" : 0 }, "schema" : "https://github.com/citation-style-language/schema/raw/master/csl-citation.json" }</w:instrText>
      </w:r>
      <w:r w:rsidR="00373F3F" w:rsidRPr="000D01FD">
        <w:rPr>
          <w:rFonts w:ascii="Arial" w:hAnsi="Arial" w:cs="Arial"/>
          <w:sz w:val="22"/>
          <w:szCs w:val="22"/>
        </w:rPr>
        <w:fldChar w:fldCharType="separate"/>
      </w:r>
      <w:r w:rsidR="00521D67" w:rsidRPr="00521D67">
        <w:rPr>
          <w:rFonts w:ascii="Arial" w:hAnsi="Arial" w:cs="Arial"/>
          <w:noProof/>
          <w:sz w:val="22"/>
          <w:szCs w:val="22"/>
        </w:rPr>
        <w:t>(4)</w:t>
      </w:r>
      <w:r w:rsidR="00373F3F" w:rsidRPr="000D01FD">
        <w:rPr>
          <w:rFonts w:ascii="Arial" w:hAnsi="Arial" w:cs="Arial"/>
          <w:sz w:val="22"/>
          <w:szCs w:val="22"/>
        </w:rPr>
        <w:fldChar w:fldCharType="end"/>
      </w:r>
      <w:r w:rsidR="00373F3F" w:rsidRPr="000D01FD">
        <w:rPr>
          <w:rFonts w:ascii="Arial" w:hAnsi="Arial" w:cs="Arial"/>
          <w:sz w:val="22"/>
          <w:szCs w:val="22"/>
        </w:rPr>
        <w:t xml:space="preserve"> </w:t>
      </w:r>
      <w:r w:rsidR="00680099">
        <w:rPr>
          <w:rFonts w:ascii="Arial" w:hAnsi="Arial" w:cs="Arial"/>
          <w:sz w:val="22"/>
          <w:szCs w:val="22"/>
        </w:rPr>
        <w:t xml:space="preserve">has also </w:t>
      </w:r>
      <w:r w:rsidR="00561F79">
        <w:rPr>
          <w:rFonts w:ascii="Arial" w:hAnsi="Arial" w:cs="Arial"/>
          <w:sz w:val="22"/>
          <w:szCs w:val="22"/>
        </w:rPr>
        <w:t xml:space="preserve">investigated </w:t>
      </w:r>
      <w:r w:rsidR="00EA1863">
        <w:rPr>
          <w:rFonts w:ascii="Arial" w:hAnsi="Arial" w:cs="Arial"/>
          <w:sz w:val="22"/>
          <w:szCs w:val="22"/>
        </w:rPr>
        <w:t xml:space="preserve">brain </w:t>
      </w:r>
      <w:r w:rsidR="00373F3F" w:rsidRPr="000D01FD">
        <w:rPr>
          <w:rFonts w:ascii="Arial" w:hAnsi="Arial" w:cs="Arial"/>
          <w:sz w:val="22"/>
          <w:szCs w:val="22"/>
        </w:rPr>
        <w:t xml:space="preserve">abnormalities in DID </w:t>
      </w:r>
      <w:r w:rsidR="00561F79">
        <w:rPr>
          <w:rFonts w:ascii="Arial" w:hAnsi="Arial" w:cs="Arial"/>
          <w:sz w:val="22"/>
          <w:szCs w:val="22"/>
        </w:rPr>
        <w:t xml:space="preserve">on the cortical level </w:t>
      </w:r>
      <w:r w:rsidR="00373F3F" w:rsidRPr="000D01FD">
        <w:rPr>
          <w:rFonts w:ascii="Arial" w:hAnsi="Arial" w:cs="Arial"/>
          <w:sz w:val="22"/>
          <w:szCs w:val="22"/>
        </w:rPr>
        <w:t xml:space="preserve">by using an exploratory approach in a set of 68 pre-defined cortical areas across the cortex and reported that </w:t>
      </w:r>
      <w:r w:rsidR="00C76909" w:rsidRPr="000D01FD">
        <w:rPr>
          <w:rFonts w:ascii="Arial" w:hAnsi="Arial" w:cs="Arial"/>
          <w:sz w:val="22"/>
          <w:szCs w:val="22"/>
        </w:rPr>
        <w:t xml:space="preserve">individuals </w:t>
      </w:r>
      <w:r w:rsidR="00C76909">
        <w:rPr>
          <w:rFonts w:ascii="Arial" w:hAnsi="Arial" w:cs="Arial"/>
          <w:sz w:val="22"/>
          <w:szCs w:val="22"/>
        </w:rPr>
        <w:t xml:space="preserve">with </w:t>
      </w:r>
      <w:r w:rsidR="00373F3F" w:rsidRPr="000D01FD">
        <w:rPr>
          <w:rFonts w:ascii="Arial" w:hAnsi="Arial" w:cs="Arial"/>
          <w:sz w:val="22"/>
          <w:szCs w:val="22"/>
        </w:rPr>
        <w:t>DID have significantly reduced grey matter volume in the medial and dorsolateral prefrontal cortex, the anterior cingulate, the insular cortex, inferior parietal areas, and in</w:t>
      </w:r>
      <w:r w:rsidR="009944D4">
        <w:rPr>
          <w:rFonts w:ascii="Arial" w:hAnsi="Arial" w:cs="Arial"/>
          <w:sz w:val="22"/>
          <w:szCs w:val="22"/>
        </w:rPr>
        <w:t xml:space="preserve"> several regions within</w:t>
      </w:r>
      <w:r w:rsidR="00373F3F" w:rsidRPr="000D01FD">
        <w:rPr>
          <w:rFonts w:ascii="Arial" w:hAnsi="Arial" w:cs="Arial"/>
          <w:sz w:val="22"/>
          <w:szCs w:val="22"/>
        </w:rPr>
        <w:t xml:space="preserve"> the temporal lobe</w:t>
      </w:r>
      <w:r w:rsidR="00373F3F" w:rsidRPr="000D01FD">
        <w:rPr>
          <w:rFonts w:ascii="Arial" w:hAnsi="Arial" w:cs="Arial"/>
          <w:sz w:val="22"/>
          <w:szCs w:val="22"/>
        </w:rPr>
        <w:fldChar w:fldCharType="begin" w:fldLock="1"/>
      </w:r>
      <w:r w:rsidR="00A408CF">
        <w:rPr>
          <w:rFonts w:ascii="Arial" w:hAnsi="Arial" w:cs="Arial"/>
          <w:sz w:val="22"/>
          <w:szCs w:val="22"/>
        </w:rPr>
        <w:instrText>ADDIN CSL_CITATION { "citationItems" : [ { "id" : "ITEM-1", "itemData" : { "DOI" : "10.1016/j.pscychresns.2015.01.014", "ISSN" : "1872-7123", "PMID" : "25670646", "abstract" : "Neuroanatomical evidence on the relationship between posttraumatic stress disorder (PTSD) and dissociative disorders is still lacking. We acquired brain structural magnetic resonance imaging (MRI) scans from 17 patients with dissociative identity disorder (DID) and co-morbid PTSD (DID-PTSD) and 16 patients with PTSD but without DID (PTSD-only), and 32 healthy controls (HC), and compared their whole-brain cortical and subcortical gray matter (GM) morphological measurements. Associations between GM measurements and severity of dissociative and depersonalization/derealization symptoms or lifetime traumatizing events were evaluated in the patient groups. DID-PTSD and PTSD-only patients, compared with HC, had similarly smaller cortical GM volumes of the whole brain and of frontal, temporal and insular cortices. DID-PTSD patients additionally showed smaller hippocampal and larger pallidum volumes relative to HC, and larger putamen and pallidum volumes relative to PTSD-only. Severity of lifetime traumatizing events and volume of the hippocampus were negatively correlated. Severity of dissociative and depersonalization/derealization symptoms correlated positively with volume of the putamen and pallidum, and negatively with volume of the inferior parietal cortex. Shared abnormal brain structures in DID-PTSD and PTSD-only, small hippocampal volume in DID-PTSD, more severe lifetime traumatizing events in DID-PTSD compared with PTSD-only, and negative correlations between lifetime traumatizing events and hippocampal volume suggest a trauma-related etiology for DID. Our results provide neurobiological evidence for the side-by-side nosological classification of PTSD and DID in the DSM-5.", "author" : [ { "dropping-particle" : "", "family" : "Chalavi", "given" : "Sima", "non-dropping-particle" : "", "parse-names" : false, "suffix" : "" }, { "dropping-particle" : "", "family" : "Vissia", "given" : "Eline M", "non-dropping-particle" : "", "parse-names" : false, "suffix" : "" }, { "dropping-particle" : "", "family" : "Giesen", "given" : "Mechteld E", "non-dropping-particle" : "", "parse-names" : false, "suffix" : "" }, { "dropping-particle" : "", "family" : "Nijenhuis", "given" : "Ellert R S", "non-dropping-particle" : "", "parse-names" : false, "suffix" : "" }, { "dropping-particle" : "", "family" : "Draijer", "given" : "Nel", "non-dropping-particle" : "", "parse-names" : false, "suffix" : "" }, { "dropping-particle" : "", "family" : "Barker", "given" : "Gareth J", "non-dropping-particle" : "", "parse-names" : false, "suffix" : "" }, { "dropping-particle" : "", "family" : "Veltman", "given" : "Dick J", "non-dropping-particle" : "", "parse-names" : false, "suffix" : "" }, { "dropping-particle" : "", "family" : "Reinders", "given" : "Antje A T S", "non-dropping-particle" : "", "parse-names" : false, "suffix" : "" } ], "container-title" : "Psychiatry research", "id" : "ITEM-1", "issue" : "3", "issued" : { "date-parts" : [ [ "2015", "3", "30" ] ] }, "page" : "308-19", "title" : "Similar cortical but not subcortical gray matter abnormalities in women with posttraumatic stress disorder with versus without dissociative identity disorder.", "type" : "article-journal", "volume" : "231" }, "uris" : [ "http://www.mendeley.com/documents/?uuid=c274a8e7-d6e5-4d5f-8f0d-760c4923a452" ] } ], "mendeley" : { "formattedCitation" : "(4)", "plainTextFormattedCitation" : "(4)", "previouslyFormattedCitation" : "(4)" }, "properties" : { "noteIndex" : 0 }, "schema" : "https://github.com/citation-style-language/schema/raw/master/csl-citation.json" }</w:instrText>
      </w:r>
      <w:r w:rsidR="00373F3F" w:rsidRPr="000D01FD">
        <w:rPr>
          <w:rFonts w:ascii="Arial" w:hAnsi="Arial" w:cs="Arial"/>
          <w:sz w:val="22"/>
          <w:szCs w:val="22"/>
        </w:rPr>
        <w:fldChar w:fldCharType="separate"/>
      </w:r>
      <w:r w:rsidR="00521D67" w:rsidRPr="00521D67">
        <w:rPr>
          <w:rFonts w:ascii="Arial" w:hAnsi="Arial" w:cs="Arial"/>
          <w:noProof/>
          <w:sz w:val="22"/>
          <w:szCs w:val="22"/>
        </w:rPr>
        <w:t>(4)</w:t>
      </w:r>
      <w:r w:rsidR="00373F3F" w:rsidRPr="000D01FD">
        <w:rPr>
          <w:rFonts w:ascii="Arial" w:hAnsi="Arial" w:cs="Arial"/>
          <w:sz w:val="22"/>
          <w:szCs w:val="22"/>
        </w:rPr>
        <w:fldChar w:fldCharType="end"/>
      </w:r>
      <w:r w:rsidR="00373F3F" w:rsidRPr="000D01FD">
        <w:rPr>
          <w:rFonts w:ascii="Arial" w:hAnsi="Arial" w:cs="Arial"/>
          <w:sz w:val="22"/>
          <w:szCs w:val="22"/>
        </w:rPr>
        <w:t>. A high degree of overlap was found between these neuroanatomical aberrations and dissociative personality state dependent brain functioning during emotion regulation, which showed predominantly activation in the parietal regions, insula and limbic-prefrontal circuitry</w:t>
      </w:r>
      <w:r w:rsidR="00373F3F" w:rsidRPr="000D01FD">
        <w:rPr>
          <w:rFonts w:ascii="Arial" w:hAnsi="Arial" w:cs="Arial"/>
          <w:sz w:val="22"/>
          <w:szCs w:val="22"/>
        </w:rPr>
        <w:fldChar w:fldCharType="begin" w:fldLock="1"/>
      </w:r>
      <w:r w:rsidR="00A408CF">
        <w:rPr>
          <w:rFonts w:ascii="Arial" w:hAnsi="Arial" w:cs="Arial"/>
          <w:sz w:val="22"/>
          <w:szCs w:val="22"/>
        </w:rPr>
        <w:instrText>ADDIN CSL_CITATION { "citationItems" : [ { "id" : "ITEM-1", "itemData" : { "DOI" : "10.1016/j.pscychresns.2014.05.005", "ISSN" : "1872-7123", "PMID" : "24976633", "abstract" : "Imaging studies in posttraumatic stress disorder (PTSD) have shown differing neural network patterns between hypo-aroused/dissociative and hyper-aroused subtypes. Since dissociative identity disorder (DID) involves different emotional states, this study tests whether DID fits aspects of the differing brain-activation patterns in PTSD. While brain activation was monitored using positron emission tomography, DID individuals (n=11) and matched DID-simulating healthy controls (n=16) underwent an autobiographic script-driven imagery paradigm in a hypo-aroused and a hyper-aroused identity state. Results were consistent with those previously found in the two PTSD subtypes for the rostral/dorsal anterior cingulate, the prefrontal cortex, and the amygdala and insula, respectively. Furthermore, the dissociative identity state uniquely activated the posterior association areas and the parahippocampal gyri, whereas the hyper-aroused identity state uniquely activated the caudate nucleus. Therefore, we proposed an extended PTSD-based neurobiological model for emotion modulation in DID: the hypo-aroused identity state activates the prefrontal cortex, cingulate, posterior association areas and parahippocampal gyri, thereby overmodulating emotion regulation; the hyper-aroused identity state activates the amygdala and insula as well as the dorsal striatum, thereby undermodulating emotion regulation. This confirms the notion that DID is related to PTSD as hypo-aroused and hyper-arousal states in DID and PTSD are similar.", "author" : [ { "dropping-particle" : "", "family" : "Reinders", "given" : "Antje A T S", "non-dropping-particle" : "", "parse-names" : false, "suffix" : "" }, { "dropping-particle" : "", "family" : "Willemsen", "given" : "Antoon T M", "non-dropping-particle" : "", "parse-names" : false, "suffix" : "" }, { "dropping-particle" : "", "family" : "Boer", "given" : "Johan A", "non-dropping-particle" : "den", "parse-names" : false, "suffix" : "" }, { "dropping-particle" : "", "family" : "Vos", "given" : "Herry P J", "non-dropping-particle" : "", "parse-names" : false, "suffix" : "" }, { "dropping-particle" : "", "family" : "Veltman", "given" : "Dick J", "non-dropping-particle" : "", "parse-names" : false, "suffix" : "" }, { "dropping-particle" : "", "family" : "Loewenstein", "given" : "Richard J", "non-dropping-particle" : "", "parse-names" : false, "suffix" : "" } ], "container-title" : "Psychiatry research: Neuroimaging", "id" : "ITEM-1", "issue" : "3", "issued" : { "date-parts" : [ [ "2014", "6", "4" ] ] }, "page" : "236-43", "publisher" : "Elsevier", "title" : "Opposite brain emotion-regulation patterns in identity states of dissociative identity disorder: A PET study and neurobiological model.", "type" : "article-journal", "volume" : "223" }, "uris" : [ "http://www.mendeley.com/documents/?uuid=a6c97ed7-cccf-48a9-8090-08ad36f8428a" ] }, { "id" : "ITEM-2", "itemData" : { "DOI" : "10.1097/NMD.0000000000000522", "ISSN" : "1539-736X", "PMID" : "27120718", "abstract" : "The etiology of dissociative identity disorder (DID) remains a topic of debate. Proponents of the fantasy model and the trauma model of DID have both called for more empirical research. To this end, the current study presents new and extended data analyses of a previously published H2O positron emission tomography imaging study. This study included 29 subjects: 11 patients with DID and 10 high- and 8 low-fantasy-prone DID-simulating mentally healthy control subjects. All subjects underwent an autobiographical memory script-driven (neutral and trauma related) imagery paradigm in 2 (simulated) dissociative personality states (neutral and trauma related). Psychobiological and psychophysiological data were obtained. Results of the new post-hoc tests on the psychophysiological responses support the trauma model. New results of the brain imaging data did not support the fantasy model. This study extends previously published results by offering important new supporting data for the trauma model of DID.", "author" : [ { "dropping-particle" : "", "family" : "Reinders", "given" : "Antje A T S", "non-dropping-particle" : "", "parse-names" : false, "suffix" : "" }, { "dropping-particle" : "", "family" : "Willemsen", "given" : "Antoon T M", "non-dropping-particle" : "", "parse-names" : false, "suffix" : "" }, { "dropping-particle" : "", "family" : "Vissia", "given" : "Eline M", "non-dropping-particle" : "", "parse-names" : false, "suffix" : "" }, { "dropping-particle" : "", "family" : "Vos", "given" : "Herry P J", "non-dropping-particle" : "", "parse-names" : false, "suffix" : "" }, { "dropping-particle" : "", "family" : "Boer", "given" : "Johan A", "non-dropping-particle" : "den", "parse-names" : false, "suffix" : "" }, { "dropping-particle" : "", "family" : "Nijenhuis", "given" : "Ellert R S", "non-dropping-particle" : "", "parse-names" : false, "suffix" : "" } ], "container-title" : "The Journal of nervous and mental disease", "id" : "ITEM-2", "issue" : "6", "issued" : { "date-parts" : [ [ "2016", "6" ] ] }, "page" : "445-57", "title" : "The Psychobiology of Authentic and Simulated Dissociative Personality States: The Full Monty.", "type" : "article-journal", "volume" : "204" }, "uris" : [ "http://www.mendeley.com/documents/?uuid=8a122d13-573d-353c-b03f-87b7c1681836" ] } ], "mendeley" : { "formattedCitation" : "(16,17)", "plainTextFormattedCitation" : "(16,17)", "previouslyFormattedCitation" : "(16,17)" }, "properties" : { "noteIndex" : 0 }, "schema" : "https://github.com/citation-style-language/schema/raw/master/csl-citation.json" }</w:instrText>
      </w:r>
      <w:r w:rsidR="00373F3F" w:rsidRPr="000D01FD">
        <w:rPr>
          <w:rFonts w:ascii="Arial" w:hAnsi="Arial" w:cs="Arial"/>
          <w:sz w:val="22"/>
          <w:szCs w:val="22"/>
        </w:rPr>
        <w:fldChar w:fldCharType="separate"/>
      </w:r>
      <w:r w:rsidR="00521D67" w:rsidRPr="00521D67">
        <w:rPr>
          <w:rFonts w:ascii="Arial" w:hAnsi="Arial" w:cs="Arial"/>
          <w:noProof/>
          <w:sz w:val="22"/>
          <w:szCs w:val="22"/>
        </w:rPr>
        <w:t>(16,17)</w:t>
      </w:r>
      <w:r w:rsidR="00373F3F" w:rsidRPr="000D01FD">
        <w:rPr>
          <w:rFonts w:ascii="Arial" w:hAnsi="Arial" w:cs="Arial"/>
          <w:sz w:val="22"/>
          <w:szCs w:val="22"/>
        </w:rPr>
        <w:fldChar w:fldCharType="end"/>
      </w:r>
      <w:r w:rsidR="00373F3F" w:rsidRPr="000D01FD">
        <w:rPr>
          <w:rFonts w:ascii="Arial" w:hAnsi="Arial" w:cs="Arial"/>
          <w:sz w:val="22"/>
          <w:szCs w:val="22"/>
        </w:rPr>
        <w:t>.</w:t>
      </w:r>
      <w:r w:rsidR="00373F3F">
        <w:rPr>
          <w:rFonts w:ascii="Arial" w:hAnsi="Arial" w:cs="Arial"/>
          <w:sz w:val="22"/>
          <w:szCs w:val="22"/>
        </w:rPr>
        <w:t xml:space="preserve"> The </w:t>
      </w:r>
      <w:r w:rsidR="00373F3F" w:rsidRPr="00295F63">
        <w:rPr>
          <w:rFonts w:ascii="Arial" w:hAnsi="Arial" w:cs="Arial"/>
          <w:sz w:val="22"/>
          <w:szCs w:val="22"/>
        </w:rPr>
        <w:t>parietal and insular regions, and the limbic-prefrontal circuitry of the brain</w:t>
      </w:r>
      <w:r w:rsidR="00373F3F">
        <w:rPr>
          <w:rFonts w:ascii="Arial" w:hAnsi="Arial" w:cs="Arial"/>
          <w:sz w:val="22"/>
          <w:szCs w:val="22"/>
        </w:rPr>
        <w:t xml:space="preserve"> are therefore of pivotal interest in the investigation of brain function and structure in DID.</w:t>
      </w:r>
    </w:p>
    <w:p w14:paraId="4939ED34" w14:textId="5B8CF6C6" w:rsidR="00FA6556" w:rsidRPr="00295F63" w:rsidRDefault="00E02C5B" w:rsidP="00A263E5">
      <w:pPr>
        <w:spacing w:line="360" w:lineRule="auto"/>
        <w:ind w:firstLine="720"/>
        <w:rPr>
          <w:rFonts w:ascii="Arial" w:hAnsi="Arial" w:cs="Arial"/>
          <w:sz w:val="22"/>
          <w:szCs w:val="22"/>
        </w:rPr>
      </w:pPr>
      <w:r>
        <w:rPr>
          <w:rFonts w:ascii="Arial" w:hAnsi="Arial" w:cs="Arial"/>
          <w:sz w:val="22"/>
          <w:szCs w:val="22"/>
        </w:rPr>
        <w:t>Moreover, previous studies examining neuroanatomical a</w:t>
      </w:r>
      <w:r w:rsidR="004043D6">
        <w:rPr>
          <w:rFonts w:ascii="Arial" w:hAnsi="Arial" w:cs="Arial"/>
          <w:sz w:val="22"/>
          <w:szCs w:val="22"/>
        </w:rPr>
        <w:t>bnormalities in DID</w:t>
      </w:r>
      <w:r>
        <w:rPr>
          <w:rFonts w:ascii="Arial" w:hAnsi="Arial" w:cs="Arial"/>
          <w:sz w:val="22"/>
          <w:szCs w:val="22"/>
        </w:rPr>
        <w:t xml:space="preserve"> were mostly based on a priori defined regions of interests and were based on traditional measures of regional or brain volumes.</w:t>
      </w:r>
      <w:r w:rsidR="004043D6">
        <w:rPr>
          <w:rFonts w:ascii="Arial" w:hAnsi="Arial" w:cs="Arial"/>
          <w:sz w:val="22"/>
          <w:szCs w:val="22"/>
        </w:rPr>
        <w:t xml:space="preserve"> </w:t>
      </w:r>
      <w:r>
        <w:rPr>
          <w:rFonts w:ascii="Arial" w:hAnsi="Arial" w:cs="Arial"/>
          <w:sz w:val="22"/>
          <w:szCs w:val="22"/>
        </w:rPr>
        <w:t xml:space="preserve">However, cortical volume is by definition a product of </w:t>
      </w:r>
      <w:r w:rsidR="00FA6556" w:rsidRPr="00CA282E">
        <w:rPr>
          <w:rFonts w:ascii="Arial" w:hAnsi="Arial" w:cs="Arial"/>
          <w:sz w:val="22"/>
          <w:szCs w:val="22"/>
        </w:rPr>
        <w:t>cortical thickness (CT) and surface area (SA)</w:t>
      </w:r>
      <w:r w:rsidR="00D83CC2">
        <w:rPr>
          <w:rFonts w:ascii="Arial" w:hAnsi="Arial" w:cs="Arial"/>
          <w:sz w:val="22"/>
          <w:szCs w:val="22"/>
        </w:rPr>
        <w:t xml:space="preserve">, which </w:t>
      </w:r>
      <w:r w:rsidR="00FA6556" w:rsidRPr="00CA282E">
        <w:rPr>
          <w:rFonts w:ascii="Arial" w:hAnsi="Arial" w:cs="Arial"/>
          <w:sz w:val="22"/>
          <w:szCs w:val="22"/>
        </w:rPr>
        <w:t>represent distinct aspects</w:t>
      </w:r>
      <w:r w:rsidR="00FA6556" w:rsidRPr="00295F63">
        <w:rPr>
          <w:rFonts w:ascii="Arial" w:hAnsi="Arial" w:cs="Arial"/>
          <w:sz w:val="22"/>
          <w:szCs w:val="22"/>
        </w:rPr>
        <w:t xml:space="preserve"> of</w:t>
      </w:r>
      <w:r w:rsidR="009C3DDE">
        <w:rPr>
          <w:rFonts w:ascii="Arial" w:hAnsi="Arial" w:cs="Arial"/>
          <w:sz w:val="22"/>
          <w:szCs w:val="22"/>
        </w:rPr>
        <w:t xml:space="preserve"> the </w:t>
      </w:r>
      <w:r w:rsidR="00FA6556" w:rsidRPr="00295F63">
        <w:rPr>
          <w:rFonts w:ascii="Arial" w:hAnsi="Arial" w:cs="Arial"/>
          <w:sz w:val="22"/>
          <w:szCs w:val="22"/>
        </w:rPr>
        <w:t>cortical architecture</w:t>
      </w:r>
      <w:r w:rsidR="00FA6556" w:rsidRPr="00295F63">
        <w:rPr>
          <w:rFonts w:ascii="Arial" w:hAnsi="Arial" w:cs="Arial"/>
          <w:sz w:val="22"/>
          <w:szCs w:val="22"/>
        </w:rPr>
        <w:fldChar w:fldCharType="begin" w:fldLock="1"/>
      </w:r>
      <w:r w:rsidR="00A408CF">
        <w:rPr>
          <w:rFonts w:ascii="Arial" w:hAnsi="Arial" w:cs="Arial"/>
          <w:sz w:val="22"/>
          <w:szCs w:val="22"/>
        </w:rPr>
        <w:instrText>ADDIN CSL_CITATION { "citationItems" : [ { "id" : "ITEM-1", "itemData" : { "DOI" : "10.1016/j.neuron.2013.10.045", "ISSN" : "1097-4199", "PMID" : "24183016", "abstract" : "To understand the emergence of human higher cognition, we must understand its biological substrate--the cerebral cortex, which considers itself the crowning achievement of evolution. Here, we describe how advances in developmental neurobiology, coupled with those in genetics, including adaptive protein evolution via gene duplications and the emergence of novel regulatory elements, can provide insights into the evolutionary mechanisms culminating in the human cerebrum. Given that the massive expansion of the cortical surface and elaboration of its connections in humans originates from developmental events, understanding the genetic regulation of cell number, neuronal migration to proper layers, columns, and regions, and ultimately their differentiation into specific phenotypes, is critical. The pre- and postnatal environment also interacts with the cellular substrate to yield a basic network that is refined via selection and elimination of synaptic connections, a process that is prolonged in humans. This knowledge provides essential insight into the pathogenesis of human-specific neuropsychiatric disorders.", "author" : [ { "dropping-particle" : "", "family" : "Geschwind", "given" : "Daniel H", "non-dropping-particle" : "", "parse-names" : false, "suffix" : "" }, { "dropping-particle" : "", "family" : "Rakic", "given" : "Pasko", "non-dropping-particle" : "", "parse-names" : false, "suffix" : "" } ], "container-title" : "Neuron", "id" : "ITEM-1", "issue" : "3", "issued" : { "date-parts" : [ [ "2013", "10", "30" ] ] }, "page" : "633-47", "title" : "Cortical evolution: judge the brain by its cover.", "type" : "article-journal", "volume" : "80" }, "uris" : [ "http://www.mendeley.com/documents/?uuid=abdc47d8-888d-46b2-ad38-cb215310ecbb" ] } ], "mendeley" : { "formattedCitation" : "(18)", "plainTextFormattedCitation" : "(18)", "previouslyFormattedCitation" : "(18)" }, "properties" : { "noteIndex" : 0 }, "schema" : "https://github.com/citation-style-language/schema/raw/master/csl-citation.json" }</w:instrText>
      </w:r>
      <w:r w:rsidR="00FA6556" w:rsidRPr="00295F63">
        <w:rPr>
          <w:rFonts w:ascii="Arial" w:hAnsi="Arial" w:cs="Arial"/>
          <w:sz w:val="22"/>
          <w:szCs w:val="22"/>
        </w:rPr>
        <w:fldChar w:fldCharType="separate"/>
      </w:r>
      <w:r w:rsidR="00521D67" w:rsidRPr="00521D67">
        <w:rPr>
          <w:rFonts w:ascii="Arial" w:hAnsi="Arial" w:cs="Arial"/>
          <w:noProof/>
          <w:sz w:val="22"/>
          <w:szCs w:val="22"/>
        </w:rPr>
        <w:t>(18)</w:t>
      </w:r>
      <w:r w:rsidR="00FA6556" w:rsidRPr="00295F63">
        <w:rPr>
          <w:rFonts w:ascii="Arial" w:hAnsi="Arial" w:cs="Arial"/>
          <w:sz w:val="22"/>
          <w:szCs w:val="22"/>
        </w:rPr>
        <w:fldChar w:fldCharType="end"/>
      </w:r>
      <w:r w:rsidR="009C3DDE">
        <w:rPr>
          <w:rFonts w:ascii="Arial" w:hAnsi="Arial" w:cs="Arial"/>
          <w:sz w:val="22"/>
          <w:szCs w:val="22"/>
        </w:rPr>
        <w:t>,</w:t>
      </w:r>
      <w:r w:rsidR="00FA6556" w:rsidRPr="00295F63">
        <w:rPr>
          <w:rFonts w:ascii="Arial" w:hAnsi="Arial" w:cs="Arial"/>
          <w:sz w:val="22"/>
          <w:szCs w:val="22"/>
        </w:rPr>
        <w:t xml:space="preserve"> are mediated by different genetic determinants</w:t>
      </w:r>
      <w:r w:rsidR="00FA6556" w:rsidRPr="00295F63">
        <w:rPr>
          <w:rFonts w:ascii="Arial" w:hAnsi="Arial" w:cs="Arial"/>
          <w:sz w:val="22"/>
          <w:szCs w:val="22"/>
        </w:rPr>
        <w:fldChar w:fldCharType="begin" w:fldLock="1"/>
      </w:r>
      <w:r w:rsidR="00A408CF">
        <w:rPr>
          <w:rFonts w:ascii="Arial" w:hAnsi="Arial" w:cs="Arial"/>
          <w:sz w:val="22"/>
          <w:szCs w:val="22"/>
        </w:rPr>
        <w:instrText>ADDIN CSL_CITATION { "citationItems" : [ { "id" : "ITEM-1", "itemData" : { "DOI" : "10.1093/cercor/bhp026", "ISSN" : "1460-2199", "PMID" : "19299253", "abstract" : "Neuroimaging studies examining the effects of aging and neuropsychiatric disorders on the cerebral cortex have largely been based on measures of cortical volume. Given that cortical volume is a product of thickness and surface area, it is plausible that measures of volume capture at least 2 distinct sets of genetic influences. The present study aims to examine the genetic relationships between measures of cortical surface area and thickness. Participants were men in the Vietnam Era Twin Study of Aging (110 monozygotic pairs and 92 dizygotic pairs). Mean age was 55.8 years (range: 51-59). Bivariate twin analyses were utilized in order to estimate the heritability of cortical surface area and thickness, as well as their degree of genetic overlap. Total cortical surface area and average cortical thickness were both highly heritable (0.89 and 0.81, respectively) but were essentially unrelated genetically (genetic correlation = 0.08). This pattern was similar at the lobar and regional levels of analysis. These results demonstrate that cortical volume measures combine at least 2 distinct sources of genetic influences. We conclude that using volume in a genetically informative study, or as an endophenotype for a disorder, may confound the underlying genetic architecture of brain structure.", "author" : [ { "dropping-particle" : "", "family" : "Panizzon", "given" : "Matthew S", "non-dropping-particle" : "", "parse-names" : false, "suffix" : "" }, { "dropping-particle" : "", "family" : "Fennema-Notestine", "given" : "Christine", "non-dropping-particle" : "", "parse-names" : false, "suffix" : "" }, { "dropping-particle" : "", "family" : "Eyler", "given" : "Lisa T", "non-dropping-particle" : "", "parse-names" : false, "suffix" : "" }, { "dropping-particle" : "", "family" : "Jernigan", "given" : "Terry L", "non-dropping-particle" : "", "parse-names" : false, "suffix" : "" }, { "dropping-particle" : "", "family" : "Prom-Wormley", "given" : "Elizabeth", "non-dropping-particle" : "", "parse-names" : false, "suffix" : "" }, { "dropping-particle" : "", "family" : "Neale", "given" : "Michael", "non-dropping-particle" : "", "parse-names" : false, "suffix" : "" }, { "dropping-particle" : "", "family" : "Jacobson", "given" : "Kristen", "non-dropping-particle" : "", "parse-names" : false, "suffix" : "" }, { "dropping-particle" : "", "family" : "Lyons", "given" : "Michael J", "non-dropping-particle" : "", "parse-names" : false, "suffix" : "" }, { "dropping-particle" : "", "family" : "Grant", "given" : "Michael D", "non-dropping-particle" : "", "parse-names" : false, "suffix" : "" }, { "dropping-particle" : "", "family" : "Franz", "given" : "Carol E", "non-dropping-particle" : "", "parse-names" : false, "suffix" : "" }, { "dropping-particle" : "", "family" : "Xian", "given" : "Hong", "non-dropping-particle" : "", "parse-names" : false, "suffix" : "" }, { "dropping-particle" : "", "family" : "Tsuang", "given" : "Ming", "non-dropping-particle" : "", "parse-names" : false, "suffix" : "" }, { "dropping-particle" : "", "family" : "Fischl", "given" : "Bruce", "non-dropping-particle" : "", "parse-names" : false, "suffix" : "" }, { "dropping-particle" : "", "family" : "Seidman", "given" : "Larry", "non-dropping-particle" : "", "parse-names" : false, "suffix" : "" }, { "dropping-particle" : "", "family" : "Dale", "given" : "Anders", "non-dropping-particle" : "", "parse-names" : false, "suffix" : "" }, { "dropping-particle" : "", "family" : "Kremen", "given" : "William S", "non-dropping-particle" : "", "parse-names" : false, "suffix" : "" } ], "container-title" : "Cerebral cortex (New York, N.Y. : 1991)", "id" : "ITEM-1", "issue" : "11", "issued" : { "date-parts" : [ [ "2009", "11" ] ] }, "page" : "2728-35", "title" : "Distinct genetic influences on cortical surface area and cortical thickness.", "type" : "article-journal", "volume" : "19" }, "uris" : [ "http://www.mendeley.com/documents/?uuid=ccbf7118-402e-4d4a-964f-d774eada1de8" ] } ], "mendeley" : { "formattedCitation" : "(19)", "plainTextFormattedCitation" : "(19)", "previouslyFormattedCitation" : "(19)" }, "properties" : { "noteIndex" : 0 }, "schema" : "https://github.com/citation-style-language/schema/raw/master/csl-citation.json" }</w:instrText>
      </w:r>
      <w:r w:rsidR="00FA6556" w:rsidRPr="00295F63">
        <w:rPr>
          <w:rFonts w:ascii="Arial" w:hAnsi="Arial" w:cs="Arial"/>
          <w:sz w:val="22"/>
          <w:szCs w:val="22"/>
        </w:rPr>
        <w:fldChar w:fldCharType="separate"/>
      </w:r>
      <w:r w:rsidR="00521D67" w:rsidRPr="00521D67">
        <w:rPr>
          <w:rFonts w:ascii="Arial" w:hAnsi="Arial" w:cs="Arial"/>
          <w:noProof/>
          <w:sz w:val="22"/>
          <w:szCs w:val="22"/>
        </w:rPr>
        <w:t>(19)</w:t>
      </w:r>
      <w:r w:rsidR="00FA6556" w:rsidRPr="00295F63">
        <w:rPr>
          <w:rFonts w:ascii="Arial" w:hAnsi="Arial" w:cs="Arial"/>
          <w:sz w:val="22"/>
          <w:szCs w:val="22"/>
        </w:rPr>
        <w:fldChar w:fldCharType="end"/>
      </w:r>
      <w:r w:rsidR="00FA6556" w:rsidRPr="00295F63">
        <w:rPr>
          <w:rFonts w:ascii="Arial" w:hAnsi="Arial" w:cs="Arial"/>
          <w:sz w:val="22"/>
          <w:szCs w:val="22"/>
        </w:rPr>
        <w:t xml:space="preserve">, </w:t>
      </w:r>
      <w:r w:rsidR="009C3DDE">
        <w:rPr>
          <w:rFonts w:ascii="Arial" w:hAnsi="Arial" w:cs="Arial"/>
          <w:sz w:val="22"/>
          <w:szCs w:val="22"/>
        </w:rPr>
        <w:t xml:space="preserve">and have a </w:t>
      </w:r>
      <w:r w:rsidR="00FA6556" w:rsidRPr="00295F63">
        <w:rPr>
          <w:rFonts w:ascii="Arial" w:hAnsi="Arial" w:cs="Arial"/>
          <w:sz w:val="22"/>
          <w:szCs w:val="22"/>
        </w:rPr>
        <w:t>contrasting phylogeny</w:t>
      </w:r>
      <w:r w:rsidR="00FA6556" w:rsidRPr="00295F63">
        <w:rPr>
          <w:rFonts w:ascii="Arial" w:hAnsi="Arial" w:cs="Arial"/>
          <w:sz w:val="22"/>
          <w:szCs w:val="22"/>
        </w:rPr>
        <w:fldChar w:fldCharType="begin" w:fldLock="1"/>
      </w:r>
      <w:r w:rsidR="00A408CF">
        <w:rPr>
          <w:rFonts w:ascii="Arial" w:hAnsi="Arial" w:cs="Arial"/>
          <w:sz w:val="22"/>
          <w:szCs w:val="22"/>
        </w:rPr>
        <w:instrText>ADDIN CSL_CITATION { "citationItems" : [ { "id" : "ITEM-1", "itemData" : { "ISSN" : "0036-8075", "PMID" : "3291116", "abstract" : "How the immense population of neurons that constitute the human cerebral neocortex is generated from progenitors lining the cerebral ventricle and then distributed to appropriate layers of distinctive cytoarchitectonic areas can be explained by the radial unit hypothesis. According to this hypothesis, the ependymal layer of the embryonic cerebral ventricle consists of proliferative units that provide a proto-map of prospective cytoarchitectonic areas. The output of the proliferative units is translated via glial guides to the expanding cortex in the form of ontogenetic columns, whose final number for each area can be modified through interaction with afferent input. Data obtained through various advanced neurobiological techniques, including electron microscopy, immunocytochemistry, [3H]thymidine and receptor autoradiography, retrovirus gene transfer, neural transplants, and surgical or genetic manipulation of cortical development, furnish new details about the kinetics of cell proliferation, their lineage relationships, and phenotypic expression that favor this hypothesis. The radial unit model provides a framework for understanding cerebral evolution, epigenetic regulation of the parcellation of cytoarchitectonic areas, and insight into the pathogenesis of certain cortical disorders in humans.", "author" : [ { "dropping-particle" : "", "family" : "Rakic", "given" : "P", "non-dropping-particle" : "", "parse-names" : false, "suffix" : "" } ], "container-title" : "Science (New York, N.Y.)", "id" : "ITEM-1", "issue" : "4862", "issued" : { "date-parts" : [ [ "1988", "7", "8" ] ] }, "page" : "170-6", "title" : "Specification of cerebral cortical areas.", "type" : "article-journal", "volume" : "241" }, "uris" : [ "http://www.mendeley.com/documents/?uuid=8628dd9d-752a-4f7e-b76b-167b92a80d5a" ] } ], "mendeley" : { "formattedCitation" : "(20)", "plainTextFormattedCitation" : "(20)", "previouslyFormattedCitation" : "(20)" }, "properties" : { "noteIndex" : 0 }, "schema" : "https://github.com/citation-style-language/schema/raw/master/csl-citation.json" }</w:instrText>
      </w:r>
      <w:r w:rsidR="00FA6556" w:rsidRPr="00295F63">
        <w:rPr>
          <w:rFonts w:ascii="Arial" w:hAnsi="Arial" w:cs="Arial"/>
          <w:sz w:val="22"/>
          <w:szCs w:val="22"/>
        </w:rPr>
        <w:fldChar w:fldCharType="separate"/>
      </w:r>
      <w:r w:rsidR="00521D67" w:rsidRPr="00521D67">
        <w:rPr>
          <w:rFonts w:ascii="Arial" w:hAnsi="Arial" w:cs="Arial"/>
          <w:noProof/>
          <w:sz w:val="22"/>
          <w:szCs w:val="22"/>
        </w:rPr>
        <w:t>(20)</w:t>
      </w:r>
      <w:r w:rsidR="00FA6556" w:rsidRPr="00295F63">
        <w:rPr>
          <w:rFonts w:ascii="Arial" w:hAnsi="Arial" w:cs="Arial"/>
          <w:sz w:val="22"/>
          <w:szCs w:val="22"/>
        </w:rPr>
        <w:fldChar w:fldCharType="end"/>
      </w:r>
      <w:r w:rsidR="00FA6556" w:rsidRPr="00295F63">
        <w:rPr>
          <w:rFonts w:ascii="Arial" w:hAnsi="Arial" w:cs="Arial"/>
          <w:sz w:val="22"/>
          <w:szCs w:val="22"/>
        </w:rPr>
        <w:t xml:space="preserve"> and distinct developmental trajectories</w:t>
      </w:r>
      <w:r w:rsidR="00FA6556" w:rsidRPr="00295F63">
        <w:rPr>
          <w:rFonts w:ascii="Arial" w:hAnsi="Arial" w:cs="Arial"/>
          <w:sz w:val="22"/>
          <w:szCs w:val="22"/>
        </w:rPr>
        <w:fldChar w:fldCharType="begin" w:fldLock="1"/>
      </w:r>
      <w:r w:rsidR="00A408CF">
        <w:rPr>
          <w:rFonts w:ascii="Arial" w:hAnsi="Arial" w:cs="Arial"/>
          <w:sz w:val="22"/>
          <w:szCs w:val="22"/>
        </w:rPr>
        <w:instrText>ADDIN CSL_CITATION { "citationItems" : [ { "id" : "ITEM-1", "itemData" : { "DOI" : "10.1007/s00702-014-1207-1", "ISSN" : "1435-1463", "PMID" : "24752753", "abstract" : "Autism spectrum disorder (ASD) is a lifelong neurodevelopmental condition that is accompanied by an atypical development of brain maturation. So far, brain development has mainly been studied during early childhood in ASD, and using measures of total or lobular brain volume. However, cortical volumetric measures are a product of two distinct biological neuroanatomical features, cortical thickness, and surface area, which most likely also have different neurodevelopmental trajectories in ASD. Here, we therefore examined age-related differences in cortical thickness and surface area in a cross-sectional sample of 77 male individuals with ASD ranging from 7 to 25 years of age, and 77 male neurotypical controls matched for age and FSIQ. Surface-based measures were analyzed using a general linear model (GLM) including linear, quadratic, and cubic age terms, as well as their interactions with the main effect of group. When controlling for the effects of age, individuals with ASD had spatially distributed reductions in cortical thickness relative to controls, particularly in fronto-temporal regions, and also showed significantly reduced surface area in the prefrontal cortex and the anterior temporal lobe. We also observed significant group \u00d7 age interactions for both measures. However, while cortical thickness was best predicted by a quadratic age term, the neurodevelopmental trajectory for measures of surface area was mostly linear. Our findings suggest that ASD is accompanied by age-related and region-specific reductions in cortical thickness and surface area during childhood and early adulthood. Thus, differences in the neurodevelopmental trajectory of maturation for both measures need to be taken into account when interpreting between-group differences overall.", "author" : [ { "dropping-particle" : "", "family" : "Ecker", "given" : "C", "non-dropping-particle" : "", "parse-names" : false, "suffix" : "" }, { "dropping-particle" : "", "family" : "Shahidiani", "given" : "A", "non-dropping-particle" : "", "parse-names" : false, "suffix" : "" }, { "dropping-particle" : "", "family" : "Feng", "given" : "Y", "non-dropping-particle" : "", "parse-names" : false, "suffix" : "" }, { "dropping-particle" : "", "family" : "Daly", "given" : "E", "non-dropping-particle" : "", "parse-names" : false, "suffix" : "" }, { "dropping-particle" : "", "family" : "Murphy", "given" : "C", "non-dropping-particle" : "", "parse-names" : false, "suffix" : "" }, { "dropping-particle" : "", "family" : "D'Almeida", "given" : "V", "non-dropping-particle" : "", "parse-names" : false, "suffix" : "" }, { "dropping-particle" : "", "family" : "Deoni", "given" : "S", "non-dropping-particle" : "", "parse-names" : false, "suffix" : "" }, { "dropping-particle" : "", "family" : "Williams", "given" : "S C", "non-dropping-particle" : "", "parse-names" : false, "suffix" : "" }, { "dropping-particle" : "", "family" : "Gillan", "given" : "N", "non-dropping-particle" : "", "parse-names" : false, "suffix" : "" }, { "dropping-particle" : "", "family" : "Gudbrandsen", "given" : "M", "non-dropping-particle" : "", "parse-names" : false, "suffix" : "" }, { "dropping-particle" : "", "family" : "Wichers", "given" : "R", "non-dropping-particle" : "", "parse-names" : false, "suffix" : "" }, { "dropping-particle" : "", "family" : "Andrews", "given" : "D", "non-dropping-particle" : "", "parse-names" : false, "suffix" : "" }, { "dropping-particle" : "", "family" : "Hemert", "given" : "L", "non-dropping-particle" : "Van", "parse-names" : false, "suffix" : "" }, { "dropping-particle" : "", "family" : "Murphy", "given" : "D G M", "non-dropping-particle" : "", "parse-names" : false, "suffix" : "" } ], "container-title" : "Journal of neural transmission (Vienna, Austria : 1996)", "id" : "ITEM-1", "issue" : "9", "issued" : { "date-parts" : [ [ "2014", "9" ] ] }, "page" : "1157-70", "title" : "The effect of age, diagnosis, and their interaction on vertex-based measures of cortical thickness and surface area in autism spectrum disorder.", "type" : "article-journal", "volume" : "121" }, "uris" : [ "http://www.mendeley.com/documents/?uuid=dd4774d2-bbf0-41aa-b70a-7f6c9f77b455" ] } ], "mendeley" : { "formattedCitation" : "(21)", "plainTextFormattedCitation" : "(21)", "previouslyFormattedCitation" : "(21)" }, "properties" : { "noteIndex" : 0 }, "schema" : "https://github.com/citation-style-language/schema/raw/master/csl-citation.json" }</w:instrText>
      </w:r>
      <w:r w:rsidR="00FA6556" w:rsidRPr="00295F63">
        <w:rPr>
          <w:rFonts w:ascii="Arial" w:hAnsi="Arial" w:cs="Arial"/>
          <w:sz w:val="22"/>
          <w:szCs w:val="22"/>
        </w:rPr>
        <w:fldChar w:fldCharType="separate"/>
      </w:r>
      <w:r w:rsidR="00521D67" w:rsidRPr="00521D67">
        <w:rPr>
          <w:rFonts w:ascii="Arial" w:hAnsi="Arial" w:cs="Arial"/>
          <w:noProof/>
          <w:sz w:val="22"/>
          <w:szCs w:val="22"/>
        </w:rPr>
        <w:t>(21)</w:t>
      </w:r>
      <w:r w:rsidR="00FA6556" w:rsidRPr="00295F63">
        <w:rPr>
          <w:rFonts w:ascii="Arial" w:hAnsi="Arial" w:cs="Arial"/>
          <w:sz w:val="22"/>
          <w:szCs w:val="22"/>
        </w:rPr>
        <w:fldChar w:fldCharType="end"/>
      </w:r>
      <w:r w:rsidR="00FA6556" w:rsidRPr="00295F63">
        <w:rPr>
          <w:rFonts w:ascii="Arial" w:hAnsi="Arial" w:cs="Arial"/>
          <w:sz w:val="22"/>
          <w:szCs w:val="22"/>
        </w:rPr>
        <w:t xml:space="preserve">. It is thus crucial for our </w:t>
      </w:r>
      <w:r w:rsidR="00FA6556" w:rsidRPr="00295F63">
        <w:rPr>
          <w:rFonts w:ascii="Arial" w:hAnsi="Arial" w:cs="Arial"/>
          <w:sz w:val="22"/>
          <w:szCs w:val="22"/>
        </w:rPr>
        <w:lastRenderedPageBreak/>
        <w:t>understanding of</w:t>
      </w:r>
      <w:r w:rsidR="004E7886">
        <w:rPr>
          <w:rFonts w:ascii="Arial" w:hAnsi="Arial" w:cs="Arial"/>
          <w:sz w:val="22"/>
          <w:szCs w:val="22"/>
        </w:rPr>
        <w:t xml:space="preserve"> the effects </w:t>
      </w:r>
      <w:r w:rsidR="00AC4B4E">
        <w:rPr>
          <w:rFonts w:ascii="Arial" w:hAnsi="Arial" w:cs="Arial"/>
          <w:sz w:val="22"/>
          <w:szCs w:val="22"/>
        </w:rPr>
        <w:t>that</w:t>
      </w:r>
      <w:r w:rsidR="004E7886">
        <w:rPr>
          <w:rFonts w:ascii="Arial" w:hAnsi="Arial" w:cs="Arial"/>
          <w:sz w:val="22"/>
          <w:szCs w:val="22"/>
        </w:rPr>
        <w:t xml:space="preserve"> </w:t>
      </w:r>
      <w:r w:rsidR="004E7886">
        <w:rPr>
          <w:rFonts w:ascii="Arial" w:hAnsi="Arial" w:cs="Arial"/>
          <w:color w:val="000000"/>
          <w:sz w:val="22"/>
          <w:szCs w:val="22"/>
        </w:rPr>
        <w:t xml:space="preserve">early-onset and chronic interpersonal </w:t>
      </w:r>
      <w:r w:rsidR="00FA6556" w:rsidRPr="00295F63">
        <w:rPr>
          <w:rFonts w:ascii="Arial" w:hAnsi="Arial" w:cs="Arial"/>
          <w:sz w:val="22"/>
          <w:szCs w:val="22"/>
        </w:rPr>
        <w:t xml:space="preserve">traumatization </w:t>
      </w:r>
      <w:r w:rsidR="00AC4B4E">
        <w:rPr>
          <w:rFonts w:ascii="Arial" w:hAnsi="Arial" w:cs="Arial"/>
          <w:sz w:val="22"/>
          <w:szCs w:val="22"/>
        </w:rPr>
        <w:t>has on the brain, and which particular aspects of the cortical architecture are most vulnerable</w:t>
      </w:r>
      <w:r w:rsidR="00FA6556" w:rsidRPr="00295F63">
        <w:rPr>
          <w:rFonts w:ascii="Arial" w:hAnsi="Arial" w:cs="Arial"/>
          <w:sz w:val="22"/>
          <w:szCs w:val="22"/>
        </w:rPr>
        <w:t>.</w:t>
      </w:r>
      <w:r w:rsidR="00D72C59">
        <w:rPr>
          <w:rFonts w:ascii="Arial" w:hAnsi="Arial" w:cs="Arial"/>
          <w:sz w:val="22"/>
          <w:szCs w:val="22"/>
        </w:rPr>
        <w:t xml:space="preserve"> Last</w:t>
      </w:r>
      <w:r w:rsidR="00A408CF">
        <w:rPr>
          <w:rFonts w:ascii="Arial" w:hAnsi="Arial" w:cs="Arial"/>
          <w:sz w:val="22"/>
          <w:szCs w:val="22"/>
        </w:rPr>
        <w:t xml:space="preserve">, only </w:t>
      </w:r>
      <w:r w:rsidR="00A408CF">
        <w:rPr>
          <w:rFonts w:ascii="Arial" w:hAnsi="Arial" w:cs="Arial"/>
          <w:color w:val="000000" w:themeColor="text1"/>
          <w:sz w:val="22"/>
          <w:szCs w:val="22"/>
        </w:rPr>
        <w:t>f</w:t>
      </w:r>
      <w:r w:rsidR="00A408CF" w:rsidRPr="000D01FD">
        <w:rPr>
          <w:rFonts w:ascii="Arial" w:hAnsi="Arial" w:cs="Arial"/>
          <w:color w:val="000000" w:themeColor="text1"/>
          <w:sz w:val="22"/>
          <w:szCs w:val="22"/>
        </w:rPr>
        <w:t xml:space="preserve">ew studies to date have investigated the </w:t>
      </w:r>
      <w:r w:rsidR="00E72A11">
        <w:rPr>
          <w:rFonts w:ascii="Arial" w:hAnsi="Arial" w:cs="Arial"/>
          <w:color w:val="000000" w:themeColor="text1"/>
          <w:sz w:val="22"/>
          <w:szCs w:val="22"/>
        </w:rPr>
        <w:t xml:space="preserve">relationship between </w:t>
      </w:r>
      <w:r w:rsidR="00A408CF" w:rsidRPr="000D01FD">
        <w:rPr>
          <w:rFonts w:ascii="Arial" w:hAnsi="Arial" w:cs="Arial"/>
          <w:color w:val="000000" w:themeColor="text1"/>
          <w:sz w:val="22"/>
          <w:szCs w:val="22"/>
        </w:rPr>
        <w:t xml:space="preserve">dissociative symptoms </w:t>
      </w:r>
      <w:r w:rsidR="00E72A11">
        <w:rPr>
          <w:rFonts w:ascii="Arial" w:hAnsi="Arial" w:cs="Arial"/>
          <w:color w:val="000000" w:themeColor="text1"/>
          <w:sz w:val="22"/>
          <w:szCs w:val="22"/>
        </w:rPr>
        <w:t xml:space="preserve">and measures of </w:t>
      </w:r>
      <w:r w:rsidR="00A408CF" w:rsidRPr="000D01FD">
        <w:rPr>
          <w:rFonts w:ascii="Arial" w:hAnsi="Arial" w:cs="Arial"/>
          <w:color w:val="000000" w:themeColor="text1"/>
          <w:sz w:val="22"/>
          <w:szCs w:val="22"/>
        </w:rPr>
        <w:t xml:space="preserve">structural </w:t>
      </w:r>
      <w:r w:rsidR="00E72A11" w:rsidRPr="000D01FD">
        <w:rPr>
          <w:rFonts w:ascii="Arial" w:hAnsi="Arial" w:cs="Arial"/>
          <w:color w:val="000000" w:themeColor="text1"/>
          <w:sz w:val="22"/>
          <w:szCs w:val="22"/>
        </w:rPr>
        <w:t xml:space="preserve">brain </w:t>
      </w:r>
      <w:r w:rsidR="00A408CF" w:rsidRPr="000D01FD">
        <w:rPr>
          <w:rFonts w:ascii="Arial" w:hAnsi="Arial" w:cs="Arial"/>
          <w:color w:val="000000" w:themeColor="text1"/>
          <w:sz w:val="22"/>
          <w:szCs w:val="22"/>
        </w:rPr>
        <w:t>morphology</w:t>
      </w:r>
      <w:r w:rsidR="00A408CF" w:rsidRPr="000D01FD">
        <w:rPr>
          <w:rFonts w:ascii="Arial" w:hAnsi="Arial" w:cs="Arial"/>
          <w:color w:val="000000" w:themeColor="text1"/>
          <w:sz w:val="22"/>
          <w:szCs w:val="22"/>
        </w:rPr>
        <w:fldChar w:fldCharType="begin" w:fldLock="1"/>
      </w:r>
      <w:r w:rsidR="00404909">
        <w:rPr>
          <w:rFonts w:ascii="Arial" w:hAnsi="Arial" w:cs="Arial"/>
          <w:color w:val="000000" w:themeColor="text1"/>
          <w:sz w:val="22"/>
          <w:szCs w:val="22"/>
        </w:rPr>
        <w:instrText>ADDIN CSL_CITATION { "citationItems" : [ { "id" : "ITEM-1", "itemData" : { "DOI" : "10.1016/j.jpsychires.2009.10.014", "ISSN" : "1879-1379", "PMID" : "19942229", "abstract" : "There is converging evidence of gray matter (GM) structural alterations in different limbic structures in Post-Traumatic Stress Disorder (PTSD) patients. The aim of this study was to evaluate GM density in PTSD in relation to trauma load, and to assess the GM differences between responders (R) and non-responders (NR) to EMDR therapy. Magnetic Resonance Imaging (MRI) scans of 21 subjects exposed to occupational trauma, who developed PTSD (S), and of 22 who did not (NS), were compared by means of an optimized Voxel-Based Morphometry (VBM) analysis as implemented in SPM. Within S, further comparisons were made between 10 R and 5 NR. A regression analysis between GM density and the Traumatic Antecedents Questionnaire (TAQ) was also performed on all 43 subjects. Results showed a significantly lower GM density in S as compared to NS in the left posterior cingulate and the left posterior parahippocampal gyrus. Moreover, NR showed a significantly lower GM density as compared to R in bilateral posterior cingulate, as well as anterior insula, anterior parahippocampal gyrus and amygdala in the right hemisphere. Regression analysis showed that GM density negatively correlated with trauma load in bilateral posterior cingulate, left anterior insula, and right anterior parahippocampal gyrus. In conclusion, a GM lower density in limbic and paralimbic cortices were found to be associated with PTSD diagnosis, trauma load, and EMDR treatment outcome, suggesting a view of PTSD characterized by memory and dissociative disturbances.", "author" : [ { "dropping-particle" : "", "family" : "Nardo", "given" : "Davide", "non-dropping-particle" : "", "parse-names" : false, "suffix" : "" }, { "dropping-particle" : "", "family" : "H\u00f6gberg", "given" : "G\u00f6ran", "non-dropping-particle" : "", "parse-names" : false, "suffix" : "" }, { "dropping-particle" : "", "family" : "Looi", "given" : "Jeffrey Chee Leong", "non-dropping-particle" : "", "parse-names" : false, "suffix" : "" }, { "dropping-particle" : "", "family" : "Larsson", "given" : "Stig", "non-dropping-particle" : "", "parse-names" : false, "suffix" : "" }, { "dropping-particle" : "", "family" : "H\u00e4llstr\u00f6m", "given" : "Tore", "non-dropping-particle" : "", "parse-names" : false, "suffix" : "" }, { "dropping-particle" : "", "family" : "Pagani", "given" : "Marco", "non-dropping-particle" : "", "parse-names" : false, "suffix" : "" } ], "container-title" : "Journal of psychiatric research", "id" : "ITEM-1", "issue" : "7", "issued" : { "date-parts" : [ [ "2010", "5" ] ] }, "page" : "477-85", "title" : "Gray matter density in limbic and paralimbic cortices is associated with trauma load and EMDR outcome in PTSD patients.", "type" : "article-journal", "volume" : "44" }, "uris" : [ "http://www.mendeley.com/documents/?uuid=66d2bc03-33e7-4ca7-aef9-594b54ccceed" ] }, { "id" : "ITEM-2", "itemData" : { "DOI" : "10.1016/j.pscychresns.2015.01.014", "ISSN" : "1872-7123", "PMID" : "25670646", "abstract" : "Neuroanatomical evidence on the relationship between posttraumatic stress disorder (PTSD) and dissociative disorders is still lacking. We acquired brain structural magnetic resonance imaging (MRI) scans from 17 patients with dissociative identity disorder (DID) and co-morbid PTSD (DID-PTSD) and 16 patients with PTSD but without DID (PTSD-only), and 32 healthy controls (HC), and compared their whole-brain cortical and subcortical gray matter (GM) morphological measurements. Associations between GM measurements and severity of dissociative and depersonalization/derealization symptoms or lifetime traumatizing events were evaluated in the patient groups. DID-PTSD and PTSD-only patients, compared with HC, had similarly smaller cortical GM volumes of the whole brain and of frontal, temporal and insular cortices. DID-PTSD patients additionally showed smaller hippocampal and larger pallidum volumes relative to HC, and larger putamen and pallidum volumes relative to PTSD-only. Severity of lifetime traumatizing events and volume of the hippocampus were negatively correlated. Severity of dissociative and depersonalization/derealization symptoms correlated positively with volume of the putamen and pallidum, and negatively with volume of the inferior parietal cortex. Shared abnormal brain structures in DID-PTSD and PTSD-only, small hippocampal volume in DID-PTSD, more severe lifetime traumatizing events in DID-PTSD compared with PTSD-only, and negative correlations between lifetime traumatizing events and hippocampal volume suggest a trauma-related etiology for DID. Our results provide neurobiological evidence for the side-by-side nosological classification of PTSD and DID in the DSM-5.", "author" : [ { "dropping-particle" : "", "family" : "Chalavi", "given" : "Sima", "non-dropping-particle" : "", "parse-names" : false, "suffix" : "" }, { "dropping-particle" : "", "family" : "Vissia", "given" : "Eline M", "non-dropping-particle" : "", "parse-names" : false, "suffix" : "" }, { "dropping-particle" : "", "family" : "Giesen", "given" : "Mechteld E", "non-dropping-particle" : "", "parse-names" : false, "suffix" : "" }, { "dropping-particle" : "", "family" : "Nijenhuis", "given" : "Ellert R S", "non-dropping-particle" : "", "parse-names" : false, "suffix" : "" }, { "dropping-particle" : "", "family" : "Draijer", "given" : "Nel", "non-dropping-particle" : "", "parse-names" : false, "suffix" : "" }, { "dropping-particle" : "", "family" : "Barker", "given" : "Gareth J", "non-dropping-particle" : "", "parse-names" : false, "suffix" : "" }, { "dropping-particle" : "", "family" : "Veltman", "given" : "Dick J", "non-dropping-particle" : "", "parse-names" : false, "suffix" : "" }, { "dropping-particle" : "", "family" : "Reinders", "given" : "Antje A T S", "non-dropping-particle" : "", "parse-names" : false, "suffix" : "" } ], "container-title" : "Psychiatry research", "id" : "ITEM-2", "issue" : "3", "issued" : { "date-parts" : [ [ "2015", "3", "30" ] ] }, "page" : "308-19", "title" : "Similar cortical but not subcortical gray matter abnormalities in women with posttraumatic stress disorder with versus without dissociative identity disorder.", "type" : "article-journal", "volume" : "231" }, "uris" : [ "http://www.mendeley.com/documents/?uuid=c274a8e7-d6e5-4d5f-8f0d-760c4923a452" ] }, { "id" : "ITEM-3", "itemData" : { "DOI" : "10.1111/acps.12464", "ISSN" : "1600-0447", "PMID" : "26138235", "abstract" : "OBJECTIVE: One factor potentially contributing to the heterogeneity of previous results on structural grey matter alterations in adult participants suffering from post-traumatic stress disorder (PTSD) is the varying levels of dissociative symptomatology. The aim of this study was therefore to test whether the recently defined dissociative subtype of PTSD characterized by symptoms of depersonalization and derealization is characterized by specific differences in volumetric brain morphology. METHOD: Whole-brain MRI data were acquired for 59 patients with PTSD. Voxel-based morphometry was carried out to test for group differences between patients classified as belonging (n = 15) vs. not belonging (n = 44) to the dissociative subtype of PTSD. The correlation between dissociation (depersonalization/derealization) severity and grey matter volume was computed. RESULTS: Patients with PTSD classified as belonging to the dissociative subtype exhibited greater grey matter volume in the right precentral and fusiform gyri as well as less volume in the right inferior temporal gyrus. Greater dissociation severity was associated with greater volume in the right middle frontal gyrus. CONCLUSION: The results of this first whole-brain investigation of specific grey matter volume in dissociative subtype PTSD indentified structural aberrations in regions subserving the processing and regulation of emotional arousal. These might constitute characteristic biomarkers for the dissociative subtype PTSD.", "author" : [ { "dropping-particle" : "", "family" : "Daniels", "given" : "J K", "non-dropping-particle" : "", "parse-names" : false, "suffix" : "" }, { "dropping-particle" : "", "family" : "Frewen", "given" : "P", "non-dropping-particle" : "", "parse-names" : false, "suffix" : "" }, { "dropping-particle" : "", "family" : "Theberge", "given" : "J", "non-dropping-particle" : "", "parse-names" : false, "suffix" : "" }, { "dropping-particle" : "", "family" : "Lanius", "given" : "R A", "non-dropping-particle" : "", "parse-names" : false, "suffix" : "" } ], "container-title" : "Acta psychiatrica Scandinavica", "id" : "ITEM-3", "issued" : { "date-parts" : [ [ "2015", "7", "3" ] ] }, "title" : "Structural brain aberrations associated with the dissociative subtype of post-traumatic stress disorder.", "type" : "article-journal" }, "uris" : [ "http://www.mendeley.com/documents/?uuid=29b41e21-3598-485b-b5dc-7b63f519871c" ] }, { "id" : "ITEM-4", "itemData" : { "DOI" : "10.1371/journal.pone.0139807", "ISSN" : "1932-6203", "PMID" : "26439117", "abstract" : "Alexithymia, or \"no words for feelings\", is highly prevalent in samples with childhood maltreatment and posttraumatic stress disorder (PTSD). The dorsal anterior cingulate cortex (dACC) has been identified as a key region involved in alexithymia, early life trauma, and PTSD. Functional alterations in the dACC also have been associated with alexithymia in PTSD. This study examined whether dACC morphology is a neural correlate of alexithymia in child maltreatment-related PTSD. Sixteen adults with PTSD and a history of childhood sexual abuse, physical abuse, or exposure to domestic violence, and 24 healthy controls (HC) completed the Toronto Alexithymia Scale 20 (TAS-20) and underwent magnetic resonance imaging. Cortical thickness of the dACC was measured using FreeSurfer, and values were correlated with TAS-20 scores, controlling for sex and age, in both groups. Average TAS-20 score was significantly higher in the PTSD than the HC group. TAS-20 scores were significantly positively associated with dACC thickness only in the PTSD group. This association was strongest in the left hemisphere and for TAS-20 subscales that assess difficulty identifying and describing feelings. We found that increasing dACC gray matter thickness is a neural correlate of greater alexithymia in the context of PTSD with childhood maltreatment. While findings are correlational, they motivate further inquiry into the relationships between childhood adversity, emotional awareness and expression, and dACC morphologic development in trauma-related psychopathology.", "author" : [ { "dropping-particle" : "", "family" : "Demers", "given" : "Lauren A", "non-dropping-particle" : "", "parse-names" : false, "suffix" : "" }, { "dropping-particle" : "", "family" : "Olson", "given" : "Elizabeth A", "non-dropping-particle" : "", "parse-names" : false, "suffix" : "" }, { "dropping-particle" : "", "family" : "Crowley", "given" : "David J", "non-dropping-particle" : "", "parse-names" : false, "suffix" : "" }, { "dropping-particle" : "", "family" : "Rauch", "given" : "Scott L", "non-dropping-particle" : "", "parse-names" : false, "suffix" : "" }, { "dropping-particle" : "", "family" : "Rosso", "given" : "Isabelle M", "non-dropping-particle" : "", "parse-names" : false, "suffix" : "" } ], "container-title" : "PloS one", "id" : "ITEM-4", "issue" : "10", "issued" : { "date-parts" : [ [ "2015", "1" ] ] }, "page" : "e0139807", "title" : "Dorsal Anterior Cingulate Thickness Is Related to Alexithymia in Childhood Trauma-Related PTSD.", "type" : "article-journal", "volume" : "10" }, "uris" : [ "http://www.mendeley.com/documents/?uuid=7550588a-b549-4a7b-8f90-dbb1b23565a3" ] } ], "mendeley" : { "formattedCitation" : "(4,22\u201324)", "plainTextFormattedCitation" : "(4,22\u201324)", "previouslyFormattedCitation" : "(4,22\u201324)" }, "properties" : { "noteIndex" : 0 }, "schema" : "https://github.com/citation-style-language/schema/raw/master/csl-citation.json" }</w:instrText>
      </w:r>
      <w:r w:rsidR="00A408CF" w:rsidRPr="000D01FD">
        <w:rPr>
          <w:rFonts w:ascii="Arial" w:hAnsi="Arial" w:cs="Arial"/>
          <w:color w:val="000000" w:themeColor="text1"/>
          <w:sz w:val="22"/>
          <w:szCs w:val="22"/>
        </w:rPr>
        <w:fldChar w:fldCharType="separate"/>
      </w:r>
      <w:r w:rsidR="00A408CF" w:rsidRPr="00A408CF">
        <w:rPr>
          <w:rFonts w:ascii="Arial" w:hAnsi="Arial" w:cs="Arial"/>
          <w:noProof/>
          <w:color w:val="000000" w:themeColor="text1"/>
          <w:sz w:val="22"/>
          <w:szCs w:val="22"/>
        </w:rPr>
        <w:t>(4,22–24)</w:t>
      </w:r>
      <w:r w:rsidR="00A408CF" w:rsidRPr="000D01FD">
        <w:rPr>
          <w:rFonts w:ascii="Arial" w:hAnsi="Arial" w:cs="Arial"/>
          <w:color w:val="000000" w:themeColor="text1"/>
          <w:sz w:val="22"/>
          <w:szCs w:val="22"/>
        </w:rPr>
        <w:fldChar w:fldCharType="end"/>
      </w:r>
      <w:r w:rsidR="00A408CF">
        <w:rPr>
          <w:rFonts w:ascii="Arial" w:hAnsi="Arial" w:cs="Arial"/>
          <w:color w:val="000000" w:themeColor="text1"/>
          <w:sz w:val="22"/>
          <w:szCs w:val="22"/>
        </w:rPr>
        <w:t xml:space="preserve"> and the </w:t>
      </w:r>
      <w:r w:rsidR="00A408CF" w:rsidRPr="00243070">
        <w:rPr>
          <w:rFonts w:ascii="Arial" w:hAnsi="Arial" w:cs="Arial"/>
          <w:sz w:val="22"/>
          <w:szCs w:val="22"/>
        </w:rPr>
        <w:t xml:space="preserve">neurobiological correlates of dissociative symptoms </w:t>
      </w:r>
      <w:r w:rsidR="00A355B7">
        <w:rPr>
          <w:rFonts w:ascii="Arial" w:hAnsi="Arial" w:cs="Arial"/>
          <w:sz w:val="22"/>
          <w:szCs w:val="22"/>
        </w:rPr>
        <w:t xml:space="preserve">therefore </w:t>
      </w:r>
      <w:r w:rsidR="00A408CF" w:rsidRPr="00243070">
        <w:rPr>
          <w:rFonts w:ascii="Arial" w:hAnsi="Arial" w:cs="Arial"/>
          <w:sz w:val="22"/>
          <w:szCs w:val="22"/>
        </w:rPr>
        <w:t>remain poorly understood.</w:t>
      </w:r>
    </w:p>
    <w:p w14:paraId="6549B667" w14:textId="2DAA5892" w:rsidR="00685FBF" w:rsidRDefault="009A640D" w:rsidP="008C3C74">
      <w:pPr>
        <w:pStyle w:val="Geenafstand"/>
        <w:spacing w:line="360" w:lineRule="auto"/>
        <w:rPr>
          <w:rFonts w:ascii="Arial" w:hAnsi="Arial" w:cs="Arial"/>
          <w:sz w:val="22"/>
          <w:szCs w:val="22"/>
        </w:rPr>
      </w:pPr>
      <w:r>
        <w:rPr>
          <w:rFonts w:ascii="Arial" w:hAnsi="Arial" w:cs="Arial"/>
          <w:sz w:val="22"/>
          <w:szCs w:val="22"/>
          <w:lang w:val="en-GB"/>
        </w:rPr>
        <w:tab/>
      </w:r>
      <w:r w:rsidR="00856EE6" w:rsidRPr="00295F63">
        <w:rPr>
          <w:rFonts w:ascii="Arial" w:hAnsi="Arial" w:cs="Arial"/>
          <w:sz w:val="22"/>
          <w:szCs w:val="22"/>
          <w:lang w:val="en-GB"/>
        </w:rPr>
        <w:t>In the current study</w:t>
      </w:r>
      <w:r w:rsidR="008C18A0">
        <w:rPr>
          <w:rFonts w:ascii="Arial" w:hAnsi="Arial" w:cs="Arial"/>
          <w:sz w:val="22"/>
          <w:szCs w:val="22"/>
          <w:lang w:val="en-GB"/>
        </w:rPr>
        <w:t xml:space="preserve"> </w:t>
      </w:r>
      <w:r w:rsidR="00856EE6" w:rsidRPr="00295F63">
        <w:rPr>
          <w:rFonts w:ascii="Arial" w:hAnsi="Arial" w:cs="Arial"/>
          <w:sz w:val="22"/>
          <w:szCs w:val="22"/>
          <w:lang w:val="en-GB"/>
        </w:rPr>
        <w:t>w</w:t>
      </w:r>
      <w:r w:rsidR="00402063" w:rsidRPr="00295F63">
        <w:rPr>
          <w:rFonts w:ascii="Arial" w:hAnsi="Arial" w:cs="Arial"/>
          <w:sz w:val="22"/>
          <w:szCs w:val="22"/>
          <w:lang w:val="en-GB"/>
        </w:rPr>
        <w:t>e</w:t>
      </w:r>
      <w:r w:rsidR="00682D19">
        <w:rPr>
          <w:rFonts w:ascii="Arial" w:hAnsi="Arial" w:cs="Arial"/>
          <w:sz w:val="22"/>
          <w:szCs w:val="22"/>
          <w:lang w:val="en-GB"/>
        </w:rPr>
        <w:t xml:space="preserve"> therefore</w:t>
      </w:r>
      <w:r w:rsidR="00402063" w:rsidRPr="00295F63">
        <w:rPr>
          <w:rFonts w:ascii="Arial" w:hAnsi="Arial" w:cs="Arial"/>
          <w:sz w:val="22"/>
          <w:szCs w:val="22"/>
          <w:lang w:val="en-GB"/>
        </w:rPr>
        <w:t xml:space="preserve"> </w:t>
      </w:r>
      <w:r w:rsidR="00682D19">
        <w:rPr>
          <w:rFonts w:ascii="Arial" w:hAnsi="Arial" w:cs="Arial"/>
          <w:sz w:val="22"/>
          <w:szCs w:val="22"/>
          <w:lang w:val="en-GB"/>
        </w:rPr>
        <w:t xml:space="preserve">employed a spatially-unbiased, that is vertex-wise, </w:t>
      </w:r>
      <w:r w:rsidR="00172674">
        <w:rPr>
          <w:rFonts w:ascii="Arial" w:hAnsi="Arial" w:cs="Arial"/>
          <w:sz w:val="22"/>
          <w:szCs w:val="22"/>
          <w:lang w:val="en-GB"/>
        </w:rPr>
        <w:t xml:space="preserve">approach to investigate cortical morphology </w:t>
      </w:r>
      <w:r w:rsidR="00172674" w:rsidRPr="00295F63">
        <w:rPr>
          <w:rFonts w:ascii="Arial" w:hAnsi="Arial" w:cs="Arial"/>
          <w:sz w:val="22"/>
          <w:szCs w:val="22"/>
          <w:lang w:val="en-GB"/>
        </w:rPr>
        <w:t xml:space="preserve">in a </w:t>
      </w:r>
      <w:r w:rsidR="00172674">
        <w:rPr>
          <w:rFonts w:ascii="Arial" w:hAnsi="Arial" w:cs="Arial"/>
          <w:sz w:val="22"/>
          <w:szCs w:val="22"/>
          <w:lang w:val="en-GB"/>
        </w:rPr>
        <w:t xml:space="preserve">large </w:t>
      </w:r>
      <w:r w:rsidR="00172674" w:rsidRPr="00295F63">
        <w:rPr>
          <w:rFonts w:ascii="Arial" w:hAnsi="Arial" w:cs="Arial"/>
          <w:sz w:val="22"/>
          <w:szCs w:val="22"/>
          <w:lang w:val="en-GB"/>
        </w:rPr>
        <w:t xml:space="preserve">sample of adult females with DID as compared to </w:t>
      </w:r>
      <w:r w:rsidR="00172674">
        <w:rPr>
          <w:rFonts w:ascii="Arial" w:hAnsi="Arial" w:cs="Arial"/>
          <w:sz w:val="22"/>
          <w:szCs w:val="22"/>
          <w:lang w:val="en-GB"/>
        </w:rPr>
        <w:t>healthy controls</w:t>
      </w:r>
      <w:r w:rsidR="00085621">
        <w:rPr>
          <w:rFonts w:ascii="Arial" w:hAnsi="Arial" w:cs="Arial"/>
          <w:sz w:val="22"/>
          <w:szCs w:val="22"/>
          <w:lang w:val="en-GB"/>
        </w:rPr>
        <w:t xml:space="preserve"> in order to disentangle</w:t>
      </w:r>
      <w:r w:rsidR="00402063" w:rsidRPr="00295F63">
        <w:rPr>
          <w:rFonts w:ascii="Arial" w:hAnsi="Arial" w:cs="Arial"/>
          <w:sz w:val="22"/>
          <w:szCs w:val="22"/>
          <w:lang w:val="en-GB"/>
        </w:rPr>
        <w:t xml:space="preserve"> </w:t>
      </w:r>
      <w:r w:rsidR="00E6273C" w:rsidRPr="00295F63">
        <w:rPr>
          <w:rFonts w:ascii="Arial" w:hAnsi="Arial" w:cs="Arial"/>
          <w:sz w:val="22"/>
          <w:szCs w:val="22"/>
          <w:lang w:val="en-GB"/>
        </w:rPr>
        <w:t>differences in CT and SA</w:t>
      </w:r>
      <w:r w:rsidR="00402063" w:rsidRPr="00295F63">
        <w:rPr>
          <w:rFonts w:ascii="Arial" w:hAnsi="Arial" w:cs="Arial"/>
          <w:sz w:val="22"/>
          <w:szCs w:val="22"/>
          <w:lang w:val="en-GB"/>
        </w:rPr>
        <w:t xml:space="preserve"> </w:t>
      </w:r>
      <w:r w:rsidR="0098202F">
        <w:rPr>
          <w:rFonts w:ascii="Arial" w:hAnsi="Arial" w:cs="Arial"/>
          <w:sz w:val="22"/>
          <w:szCs w:val="22"/>
          <w:lang w:val="en-GB"/>
        </w:rPr>
        <w:t xml:space="preserve">and </w:t>
      </w:r>
      <w:r w:rsidR="00402063" w:rsidRPr="00295F63">
        <w:rPr>
          <w:rFonts w:ascii="Arial" w:hAnsi="Arial" w:cs="Arial"/>
          <w:sz w:val="22"/>
          <w:szCs w:val="22"/>
          <w:lang w:val="en-GB"/>
        </w:rPr>
        <w:t>their relative contributio</w:t>
      </w:r>
      <w:r w:rsidR="00D8382F" w:rsidRPr="00295F63">
        <w:rPr>
          <w:rFonts w:ascii="Arial" w:hAnsi="Arial" w:cs="Arial"/>
          <w:sz w:val="22"/>
          <w:szCs w:val="22"/>
          <w:lang w:val="en-GB"/>
        </w:rPr>
        <w:t xml:space="preserve">n to observed differences in CV. </w:t>
      </w:r>
      <w:r w:rsidR="008C18A0">
        <w:rPr>
          <w:rFonts w:ascii="Arial" w:hAnsi="Arial" w:cs="Arial"/>
          <w:sz w:val="22"/>
          <w:szCs w:val="22"/>
        </w:rPr>
        <w:t>We</w:t>
      </w:r>
      <w:r w:rsidR="00402063" w:rsidRPr="00295F63">
        <w:rPr>
          <w:rFonts w:ascii="Arial" w:hAnsi="Arial" w:cs="Arial"/>
          <w:sz w:val="22"/>
          <w:szCs w:val="22"/>
        </w:rPr>
        <w:t xml:space="preserve"> hypothesized that individuals with DID </w:t>
      </w:r>
      <w:r w:rsidR="008C18A0">
        <w:rPr>
          <w:rFonts w:ascii="Arial" w:hAnsi="Arial" w:cs="Arial"/>
          <w:sz w:val="22"/>
          <w:szCs w:val="22"/>
        </w:rPr>
        <w:t xml:space="preserve">would </w:t>
      </w:r>
      <w:r w:rsidR="00402063" w:rsidRPr="00295F63">
        <w:rPr>
          <w:rFonts w:ascii="Arial" w:hAnsi="Arial" w:cs="Arial"/>
          <w:sz w:val="22"/>
          <w:szCs w:val="22"/>
        </w:rPr>
        <w:t>show neuroanatomical differences</w:t>
      </w:r>
      <w:r w:rsidR="008C18A0">
        <w:rPr>
          <w:rFonts w:ascii="Arial" w:hAnsi="Arial" w:cs="Arial"/>
          <w:sz w:val="22"/>
          <w:szCs w:val="22"/>
        </w:rPr>
        <w:t xml:space="preserve"> </w:t>
      </w:r>
      <w:r w:rsidR="00BD635C" w:rsidRPr="00295F63">
        <w:rPr>
          <w:rFonts w:ascii="Arial" w:hAnsi="Arial" w:cs="Arial"/>
          <w:sz w:val="22"/>
          <w:szCs w:val="22"/>
        </w:rPr>
        <w:t>in</w:t>
      </w:r>
      <w:r w:rsidR="003C5901">
        <w:rPr>
          <w:rFonts w:ascii="Arial" w:hAnsi="Arial" w:cs="Arial"/>
          <w:sz w:val="22"/>
          <w:szCs w:val="22"/>
        </w:rPr>
        <w:t xml:space="preserve"> all three parameters</w:t>
      </w:r>
      <w:r w:rsidR="00BD635C" w:rsidRPr="00295F63">
        <w:rPr>
          <w:rFonts w:ascii="Arial" w:hAnsi="Arial" w:cs="Arial"/>
          <w:sz w:val="22"/>
          <w:szCs w:val="22"/>
        </w:rPr>
        <w:t xml:space="preserve"> </w:t>
      </w:r>
      <w:r w:rsidR="00402063" w:rsidRPr="00295F63">
        <w:rPr>
          <w:rFonts w:ascii="Arial" w:hAnsi="Arial" w:cs="Arial"/>
          <w:sz w:val="22"/>
          <w:szCs w:val="22"/>
        </w:rPr>
        <w:t xml:space="preserve">predominantly in </w:t>
      </w:r>
      <w:r w:rsidR="007464F3" w:rsidRPr="00295F63">
        <w:rPr>
          <w:rFonts w:ascii="Arial" w:hAnsi="Arial" w:cs="Arial"/>
          <w:sz w:val="22"/>
          <w:szCs w:val="22"/>
        </w:rPr>
        <w:t xml:space="preserve">parietal and insular regions, and the </w:t>
      </w:r>
      <w:r w:rsidR="00402063" w:rsidRPr="00295F63">
        <w:rPr>
          <w:rFonts w:ascii="Arial" w:hAnsi="Arial" w:cs="Arial"/>
          <w:sz w:val="22"/>
          <w:szCs w:val="22"/>
        </w:rPr>
        <w:t>limbic-prefrontal circuitry of the brain</w:t>
      </w:r>
      <w:r w:rsidR="00695A57">
        <w:rPr>
          <w:rFonts w:ascii="Arial" w:hAnsi="Arial" w:cs="Arial"/>
          <w:sz w:val="22"/>
          <w:szCs w:val="22"/>
        </w:rPr>
        <w:t>.</w:t>
      </w:r>
      <w:r>
        <w:rPr>
          <w:rFonts w:ascii="Arial" w:hAnsi="Arial" w:cs="Arial"/>
          <w:sz w:val="22"/>
          <w:szCs w:val="22"/>
        </w:rPr>
        <w:t xml:space="preserve"> T</w:t>
      </w:r>
      <w:r w:rsidRPr="00243070">
        <w:rPr>
          <w:rFonts w:ascii="Arial" w:hAnsi="Arial" w:cs="Arial"/>
          <w:sz w:val="22"/>
          <w:szCs w:val="22"/>
        </w:rPr>
        <w:t xml:space="preserve">hese differences </w:t>
      </w:r>
      <w:r>
        <w:rPr>
          <w:rFonts w:ascii="Arial" w:hAnsi="Arial" w:cs="Arial"/>
          <w:sz w:val="22"/>
          <w:szCs w:val="22"/>
        </w:rPr>
        <w:t xml:space="preserve">are expected to correlate negatively with the </w:t>
      </w:r>
      <w:r w:rsidRPr="00243070">
        <w:rPr>
          <w:rFonts w:ascii="Arial" w:hAnsi="Arial" w:cs="Arial"/>
          <w:sz w:val="22"/>
          <w:szCs w:val="22"/>
        </w:rPr>
        <w:t>severity of dissociative symptoms</w:t>
      </w:r>
      <w:r w:rsidR="000144CC">
        <w:rPr>
          <w:rFonts w:ascii="Arial" w:hAnsi="Arial" w:cs="Arial"/>
          <w:sz w:val="22"/>
          <w:szCs w:val="22"/>
        </w:rPr>
        <w:t xml:space="preserve"> </w:t>
      </w:r>
      <w:r w:rsidR="000144CC" w:rsidRPr="008C3C74">
        <w:rPr>
          <w:rFonts w:ascii="Arial" w:hAnsi="Arial" w:cs="Arial"/>
          <w:sz w:val="22"/>
          <w:szCs w:val="22"/>
        </w:rPr>
        <w:t xml:space="preserve">and </w:t>
      </w:r>
      <w:r w:rsidR="000144CC" w:rsidRPr="008C3C74">
        <w:rPr>
          <w:rFonts w:ascii="Arial" w:eastAsia="Times New Roman" w:hAnsi="Arial" w:cs="Arial"/>
          <w:sz w:val="22"/>
          <w:szCs w:val="22"/>
        </w:rPr>
        <w:t>traumatic experiences</w:t>
      </w:r>
      <w:r w:rsidRPr="008C3C74">
        <w:rPr>
          <w:rFonts w:ascii="Arial" w:hAnsi="Arial" w:cs="Arial"/>
          <w:sz w:val="22"/>
          <w:szCs w:val="22"/>
        </w:rPr>
        <w:t xml:space="preserve">. </w:t>
      </w:r>
      <w:r w:rsidR="00BD635C" w:rsidRPr="00295F63">
        <w:rPr>
          <w:rFonts w:ascii="Arial" w:hAnsi="Arial" w:cs="Arial"/>
          <w:sz w:val="22"/>
          <w:szCs w:val="22"/>
        </w:rPr>
        <w:t>We further hypothesize</w:t>
      </w:r>
      <w:r w:rsidR="00471897" w:rsidRPr="00295F63">
        <w:rPr>
          <w:rFonts w:ascii="Arial" w:hAnsi="Arial" w:cs="Arial"/>
          <w:sz w:val="22"/>
          <w:szCs w:val="22"/>
        </w:rPr>
        <w:t>d</w:t>
      </w:r>
      <w:r w:rsidR="00BD635C" w:rsidRPr="00295F63">
        <w:rPr>
          <w:rFonts w:ascii="Arial" w:hAnsi="Arial" w:cs="Arial"/>
          <w:sz w:val="22"/>
          <w:szCs w:val="22"/>
        </w:rPr>
        <w:t xml:space="preserve"> that differences in CT and SA </w:t>
      </w:r>
      <w:r w:rsidR="008C18A0">
        <w:rPr>
          <w:rFonts w:ascii="Arial" w:hAnsi="Arial" w:cs="Arial"/>
          <w:sz w:val="22"/>
          <w:szCs w:val="22"/>
        </w:rPr>
        <w:t>would be</w:t>
      </w:r>
      <w:r w:rsidR="008C18A0" w:rsidRPr="00295F63">
        <w:rPr>
          <w:rFonts w:ascii="Arial" w:hAnsi="Arial" w:cs="Arial"/>
          <w:sz w:val="22"/>
          <w:szCs w:val="22"/>
        </w:rPr>
        <w:t xml:space="preserve"> </w:t>
      </w:r>
      <w:r w:rsidR="00BD635C" w:rsidRPr="00295F63">
        <w:rPr>
          <w:rFonts w:ascii="Arial" w:hAnsi="Arial" w:cs="Arial"/>
          <w:sz w:val="22"/>
          <w:szCs w:val="22"/>
        </w:rPr>
        <w:t xml:space="preserve">largely non-overlapping, </w:t>
      </w:r>
      <w:r w:rsidR="00BE07C0">
        <w:rPr>
          <w:rFonts w:ascii="Arial" w:hAnsi="Arial" w:cs="Arial"/>
          <w:sz w:val="22"/>
          <w:szCs w:val="22"/>
        </w:rPr>
        <w:t>given the non-specific, that is non-genetic, etiology of DID</w:t>
      </w:r>
      <w:r w:rsidR="00BE07C0" w:rsidRPr="00295F63">
        <w:rPr>
          <w:rFonts w:ascii="Arial" w:hAnsi="Arial" w:cs="Arial"/>
          <w:sz w:val="22"/>
          <w:szCs w:val="22"/>
        </w:rPr>
        <w:t xml:space="preserve">, </w:t>
      </w:r>
      <w:r w:rsidR="00BE07C0">
        <w:rPr>
          <w:rFonts w:ascii="Arial" w:hAnsi="Arial" w:cs="Arial"/>
          <w:sz w:val="22"/>
          <w:szCs w:val="22"/>
        </w:rPr>
        <w:t xml:space="preserve">and hence </w:t>
      </w:r>
      <w:r w:rsidR="00BD635C" w:rsidRPr="00295F63">
        <w:rPr>
          <w:rFonts w:ascii="Arial" w:hAnsi="Arial" w:cs="Arial"/>
          <w:sz w:val="22"/>
          <w:szCs w:val="22"/>
        </w:rPr>
        <w:t>reflecting different phylogenetic processes under the influence of early life stress</w:t>
      </w:r>
      <w:r w:rsidR="006177F6">
        <w:rPr>
          <w:rFonts w:ascii="Arial" w:hAnsi="Arial" w:cs="Arial"/>
          <w:sz w:val="22"/>
          <w:szCs w:val="22"/>
        </w:rPr>
        <w:t>.</w:t>
      </w:r>
    </w:p>
    <w:p w14:paraId="00C45550" w14:textId="77777777" w:rsidR="00685FBF" w:rsidRDefault="00685FBF" w:rsidP="00685FBF">
      <w:pPr>
        <w:pStyle w:val="Normaalweb"/>
        <w:spacing w:before="0" w:beforeAutospacing="0" w:after="0" w:afterAutospacing="0" w:line="360" w:lineRule="auto"/>
        <w:rPr>
          <w:rFonts w:ascii="Arial" w:hAnsi="Arial" w:cs="Arial"/>
          <w:sz w:val="22"/>
          <w:szCs w:val="22"/>
        </w:rPr>
      </w:pPr>
    </w:p>
    <w:p w14:paraId="07097D16" w14:textId="1210701D" w:rsidR="00685FBF" w:rsidRPr="00685FBF" w:rsidRDefault="00685FBF" w:rsidP="00685FBF">
      <w:pPr>
        <w:pStyle w:val="Normaalweb"/>
        <w:spacing w:before="0" w:beforeAutospacing="0" w:after="0" w:afterAutospacing="0" w:line="360" w:lineRule="auto"/>
        <w:rPr>
          <w:rFonts w:ascii="Arial" w:hAnsi="Arial" w:cs="Arial"/>
          <w:b/>
          <w:sz w:val="22"/>
          <w:szCs w:val="22"/>
        </w:rPr>
      </w:pPr>
      <w:r w:rsidRPr="00685FBF">
        <w:rPr>
          <w:rFonts w:ascii="Arial" w:hAnsi="Arial" w:cs="Arial"/>
          <w:b/>
          <w:sz w:val="22"/>
          <w:szCs w:val="22"/>
        </w:rPr>
        <w:t>AIMS OF THE STUDY</w:t>
      </w:r>
    </w:p>
    <w:p w14:paraId="4F60BD85" w14:textId="3DD9C283" w:rsidR="001B4566" w:rsidRPr="00295F63" w:rsidRDefault="002F5CF0">
      <w:pPr>
        <w:spacing w:line="360" w:lineRule="auto"/>
        <w:rPr>
          <w:rFonts w:ascii="Arial" w:hAnsi="Arial" w:cs="Arial"/>
          <w:b/>
          <w:color w:val="000000" w:themeColor="text1"/>
          <w:sz w:val="22"/>
          <w:szCs w:val="22"/>
        </w:rPr>
      </w:pPr>
      <w:r w:rsidRPr="008C3C74">
        <w:rPr>
          <w:rFonts w:ascii="Arial" w:eastAsiaTheme="minorHAnsi" w:hAnsi="Arial" w:cs="Arial"/>
          <w:sz w:val="22"/>
          <w:szCs w:val="22"/>
          <w:lang w:val="en-GB"/>
        </w:rPr>
        <w:t>T</w:t>
      </w:r>
      <w:r w:rsidR="00744C41" w:rsidRPr="008C3C74">
        <w:rPr>
          <w:rFonts w:ascii="Arial" w:eastAsia="Times New Roman" w:hAnsi="Arial" w:cs="Arial"/>
          <w:sz w:val="22"/>
          <w:szCs w:val="22"/>
          <w:lang w:val="en-GB"/>
        </w:rPr>
        <w:t xml:space="preserve">raditional volumetric </w:t>
      </w:r>
      <w:r w:rsidR="00513DE0">
        <w:rPr>
          <w:rFonts w:ascii="Arial" w:eastAsia="Times New Roman" w:hAnsi="Arial" w:cs="Arial"/>
          <w:sz w:val="22"/>
          <w:szCs w:val="22"/>
        </w:rPr>
        <w:t xml:space="preserve">measures </w:t>
      </w:r>
      <w:r w:rsidRPr="008C3C74">
        <w:rPr>
          <w:rFonts w:ascii="Arial" w:eastAsia="Times New Roman" w:hAnsi="Arial" w:cs="Arial"/>
          <w:sz w:val="22"/>
          <w:szCs w:val="22"/>
          <w:lang w:val="en-GB"/>
        </w:rPr>
        <w:t xml:space="preserve">of brain anatomy </w:t>
      </w:r>
      <w:r w:rsidR="00744C41" w:rsidRPr="008C3C74">
        <w:rPr>
          <w:rFonts w:ascii="Arial" w:eastAsia="Times New Roman" w:hAnsi="Arial" w:cs="Arial"/>
          <w:sz w:val="22"/>
          <w:szCs w:val="22"/>
          <w:lang w:val="en-GB"/>
        </w:rPr>
        <w:t xml:space="preserve">are highly unspecific as </w:t>
      </w:r>
      <w:r w:rsidR="005F4D75" w:rsidRPr="008C3C74">
        <w:rPr>
          <w:rFonts w:ascii="Arial" w:eastAsia="Times New Roman" w:hAnsi="Arial" w:cs="Arial"/>
          <w:sz w:val="22"/>
          <w:szCs w:val="22"/>
          <w:lang w:val="en-GB"/>
        </w:rPr>
        <w:t>cortical volume (CV) is –by definition– a product of the two distinct parameters cortical thickness (CT) and cortical surface area (SA).</w:t>
      </w:r>
      <w:r w:rsidRPr="008C3C74">
        <w:rPr>
          <w:rFonts w:ascii="Arial" w:eastAsia="Times New Roman" w:hAnsi="Arial" w:cs="Arial"/>
          <w:sz w:val="22"/>
          <w:szCs w:val="22"/>
          <w:lang w:val="en-GB"/>
        </w:rPr>
        <w:t xml:space="preserve"> W</w:t>
      </w:r>
      <w:r w:rsidR="00744C41" w:rsidRPr="008C3C74">
        <w:rPr>
          <w:rFonts w:ascii="Arial" w:eastAsia="Times New Roman" w:hAnsi="Arial" w:cs="Arial"/>
          <w:sz w:val="22"/>
          <w:szCs w:val="22"/>
          <w:lang w:val="en-GB"/>
        </w:rPr>
        <w:t xml:space="preserve">e </w:t>
      </w:r>
      <w:r w:rsidRPr="008C3C74">
        <w:rPr>
          <w:rFonts w:ascii="Arial" w:eastAsia="Times New Roman" w:hAnsi="Arial" w:cs="Arial"/>
          <w:sz w:val="22"/>
          <w:szCs w:val="22"/>
          <w:lang w:val="en-GB"/>
        </w:rPr>
        <w:t>aimed to not only investigate whether</w:t>
      </w:r>
      <w:r w:rsidR="00744C41" w:rsidRPr="008C3C74">
        <w:rPr>
          <w:rFonts w:ascii="Arial" w:eastAsia="Times New Roman" w:hAnsi="Arial" w:cs="Arial"/>
          <w:sz w:val="22"/>
          <w:szCs w:val="22"/>
          <w:lang w:val="en-GB"/>
        </w:rPr>
        <w:t xml:space="preserve"> DID is associated with volumetric differences in brain</w:t>
      </w:r>
      <w:r>
        <w:rPr>
          <w:rFonts w:ascii="Arial" w:eastAsia="Times New Roman" w:hAnsi="Arial" w:cs="Arial"/>
          <w:sz w:val="22"/>
          <w:szCs w:val="22"/>
        </w:rPr>
        <w:t xml:space="preserve"> morphology</w:t>
      </w:r>
      <w:r w:rsidR="00744C41" w:rsidRPr="008C3C74">
        <w:rPr>
          <w:rFonts w:ascii="Arial" w:eastAsia="Times New Roman" w:hAnsi="Arial" w:cs="Arial"/>
          <w:sz w:val="22"/>
          <w:szCs w:val="22"/>
          <w:lang w:val="en-GB"/>
        </w:rPr>
        <w:t xml:space="preserve">, but also to disentangle the relative contribution of CT and SA </w:t>
      </w:r>
      <w:r w:rsidRPr="008C3C74">
        <w:rPr>
          <w:rFonts w:ascii="Arial" w:eastAsia="Times New Roman" w:hAnsi="Arial" w:cs="Arial"/>
          <w:sz w:val="22"/>
          <w:szCs w:val="22"/>
          <w:lang w:val="en-GB"/>
        </w:rPr>
        <w:t xml:space="preserve">to regional abnormalities in CV </w:t>
      </w:r>
      <w:r w:rsidR="00744C41" w:rsidRPr="008C3C74">
        <w:rPr>
          <w:rFonts w:ascii="Arial" w:eastAsia="Times New Roman" w:hAnsi="Arial" w:cs="Arial"/>
          <w:sz w:val="22"/>
          <w:szCs w:val="22"/>
          <w:lang w:val="en-GB"/>
        </w:rPr>
        <w:t>in ord</w:t>
      </w:r>
      <w:r w:rsidR="00392848" w:rsidRPr="008C3C74">
        <w:rPr>
          <w:rFonts w:ascii="Arial" w:eastAsia="Times New Roman" w:hAnsi="Arial" w:cs="Arial"/>
          <w:sz w:val="22"/>
          <w:szCs w:val="22"/>
          <w:lang w:val="en-GB"/>
        </w:rPr>
        <w:t xml:space="preserve">er to elucidate the </w:t>
      </w:r>
      <w:r w:rsidR="00392848">
        <w:rPr>
          <w:rFonts w:ascii="Arial" w:eastAsia="Times New Roman" w:hAnsi="Arial" w:cs="Arial"/>
          <w:sz w:val="22"/>
          <w:szCs w:val="22"/>
        </w:rPr>
        <w:t>neurobiological underpinnings</w:t>
      </w:r>
      <w:r w:rsidR="00744C41" w:rsidRPr="008C3C74">
        <w:rPr>
          <w:rFonts w:ascii="Arial" w:eastAsia="Times New Roman" w:hAnsi="Arial" w:cs="Arial"/>
          <w:sz w:val="22"/>
          <w:szCs w:val="22"/>
          <w:lang w:val="en-GB"/>
        </w:rPr>
        <w:t xml:space="preserve"> of DID.</w:t>
      </w:r>
      <w:r w:rsidR="001F53ED" w:rsidRPr="008C3C74">
        <w:rPr>
          <w:rFonts w:ascii="Arial" w:eastAsia="Times New Roman" w:hAnsi="Arial" w:cs="Arial"/>
          <w:sz w:val="22"/>
          <w:szCs w:val="22"/>
          <w:lang w:val="en-GB"/>
        </w:rPr>
        <w:t xml:space="preserve"> Furthermore, we aimed to investigate whether abnormalities in cortical morphology are associated with dissociative symptoms and/or (early) traumatization. Ultimately, we aimed to provide new insights into </w:t>
      </w:r>
      <w:r w:rsidR="001F53ED" w:rsidRPr="008C3C74">
        <w:rPr>
          <w:rFonts w:ascii="Arial" w:eastAsiaTheme="minorHAnsi" w:hAnsi="Arial" w:cs="Arial"/>
          <w:color w:val="000000"/>
          <w:sz w:val="22"/>
          <w:szCs w:val="22"/>
          <w:lang w:val="en-GB"/>
        </w:rPr>
        <w:t>neurobiological mechanisms involved in the development of abnormal cortical morphology in DID.</w:t>
      </w:r>
      <w:r w:rsidR="007B1457" w:rsidRPr="001F53ED">
        <w:rPr>
          <w:rFonts w:ascii="Arial" w:hAnsi="Arial" w:cs="Arial"/>
          <w:b/>
          <w:color w:val="000000" w:themeColor="text1"/>
          <w:sz w:val="22"/>
          <w:szCs w:val="22"/>
        </w:rPr>
        <w:br w:type="column"/>
      </w:r>
      <w:r w:rsidR="003D2878">
        <w:rPr>
          <w:rFonts w:ascii="Arial" w:hAnsi="Arial" w:cs="Arial"/>
          <w:b/>
          <w:color w:val="000000" w:themeColor="text1"/>
          <w:sz w:val="22"/>
          <w:szCs w:val="22"/>
        </w:rPr>
        <w:lastRenderedPageBreak/>
        <w:t>METHODS AND MATERIALS</w:t>
      </w:r>
    </w:p>
    <w:p w14:paraId="4D538037" w14:textId="77777777" w:rsidR="001B4566" w:rsidRPr="003F2D78" w:rsidRDefault="001B4566" w:rsidP="00A263E5">
      <w:pPr>
        <w:spacing w:line="360" w:lineRule="auto"/>
        <w:rPr>
          <w:rFonts w:ascii="Arial" w:hAnsi="Arial" w:cs="Arial"/>
          <w:b/>
          <w:color w:val="000000" w:themeColor="text1"/>
          <w:sz w:val="22"/>
          <w:szCs w:val="22"/>
        </w:rPr>
      </w:pPr>
      <w:r w:rsidRPr="003F2D78">
        <w:rPr>
          <w:rFonts w:ascii="Arial" w:hAnsi="Arial" w:cs="Arial"/>
          <w:b/>
          <w:i/>
          <w:color w:val="000000" w:themeColor="text1"/>
          <w:sz w:val="22"/>
          <w:szCs w:val="22"/>
        </w:rPr>
        <w:t>Participants</w:t>
      </w:r>
    </w:p>
    <w:p w14:paraId="78E9F793" w14:textId="36F6D998" w:rsidR="00AB4FAB" w:rsidRDefault="001B4566" w:rsidP="00A263E5">
      <w:pPr>
        <w:spacing w:line="360" w:lineRule="auto"/>
        <w:rPr>
          <w:rFonts w:ascii="Arial" w:hAnsi="Arial" w:cs="Arial"/>
          <w:color w:val="000000" w:themeColor="text1"/>
          <w:sz w:val="22"/>
          <w:szCs w:val="22"/>
        </w:rPr>
      </w:pPr>
      <w:r w:rsidRPr="00295F63">
        <w:rPr>
          <w:rFonts w:ascii="Arial" w:hAnsi="Arial" w:cs="Arial"/>
          <w:color w:val="000000" w:themeColor="text1"/>
          <w:sz w:val="22"/>
          <w:szCs w:val="22"/>
        </w:rPr>
        <w:t xml:space="preserve">Overall, </w:t>
      </w:r>
      <w:r w:rsidR="00892122">
        <w:rPr>
          <w:rFonts w:ascii="Arial" w:hAnsi="Arial" w:cs="Arial"/>
          <w:color w:val="000000" w:themeColor="text1"/>
          <w:sz w:val="22"/>
          <w:szCs w:val="22"/>
        </w:rPr>
        <w:t xml:space="preserve">data from </w:t>
      </w:r>
      <w:r w:rsidRPr="00295F63">
        <w:rPr>
          <w:rFonts w:ascii="Arial" w:hAnsi="Arial" w:cs="Arial"/>
          <w:color w:val="000000" w:themeColor="text1"/>
          <w:sz w:val="22"/>
          <w:szCs w:val="22"/>
        </w:rPr>
        <w:t>75 participants (32</w:t>
      </w:r>
      <w:r w:rsidR="006D2565" w:rsidRPr="00295F63">
        <w:rPr>
          <w:rFonts w:ascii="Arial" w:hAnsi="Arial" w:cs="Arial"/>
          <w:color w:val="000000" w:themeColor="text1"/>
          <w:sz w:val="22"/>
          <w:szCs w:val="22"/>
        </w:rPr>
        <w:t xml:space="preserve"> </w:t>
      </w:r>
      <w:r w:rsidR="0050630B">
        <w:rPr>
          <w:rFonts w:ascii="Arial" w:hAnsi="Arial" w:cs="Arial"/>
          <w:color w:val="000000" w:themeColor="text1"/>
          <w:sz w:val="22"/>
          <w:szCs w:val="22"/>
        </w:rPr>
        <w:t xml:space="preserve">women </w:t>
      </w:r>
      <w:r w:rsidR="00892122">
        <w:rPr>
          <w:rFonts w:ascii="Arial" w:hAnsi="Arial" w:cs="Arial"/>
          <w:color w:val="000000" w:themeColor="text1"/>
          <w:sz w:val="22"/>
          <w:szCs w:val="22"/>
        </w:rPr>
        <w:t>with DID, 43</w:t>
      </w:r>
      <w:r w:rsidRPr="00295F63">
        <w:rPr>
          <w:rFonts w:ascii="Arial" w:hAnsi="Arial" w:cs="Arial"/>
          <w:color w:val="000000" w:themeColor="text1"/>
          <w:sz w:val="22"/>
          <w:szCs w:val="22"/>
        </w:rPr>
        <w:t xml:space="preserve"> female controls (HC)) </w:t>
      </w:r>
      <w:r w:rsidR="00892122">
        <w:rPr>
          <w:rFonts w:ascii="Arial" w:hAnsi="Arial" w:cs="Arial"/>
          <w:color w:val="000000" w:themeColor="text1"/>
          <w:sz w:val="22"/>
          <w:szCs w:val="22"/>
        </w:rPr>
        <w:t xml:space="preserve">was included in the current study from three centers: </w:t>
      </w:r>
      <w:r w:rsidRPr="00295F63">
        <w:rPr>
          <w:rFonts w:ascii="Arial" w:hAnsi="Arial" w:cs="Arial"/>
          <w:color w:val="000000" w:themeColor="text1"/>
          <w:sz w:val="22"/>
          <w:szCs w:val="22"/>
        </w:rPr>
        <w:t xml:space="preserve">the University Medical Centre in Groningen (UMCG, </w:t>
      </w:r>
      <w:r w:rsidR="006D2565" w:rsidRPr="00295F63">
        <w:rPr>
          <w:rFonts w:ascii="Arial" w:hAnsi="Arial" w:cs="Arial"/>
          <w:color w:val="000000" w:themeColor="text1"/>
          <w:sz w:val="22"/>
          <w:szCs w:val="22"/>
        </w:rPr>
        <w:t xml:space="preserve">the </w:t>
      </w:r>
      <w:r w:rsidR="00892122">
        <w:rPr>
          <w:rFonts w:ascii="Arial" w:hAnsi="Arial" w:cs="Arial"/>
          <w:color w:val="000000" w:themeColor="text1"/>
          <w:sz w:val="22"/>
          <w:szCs w:val="22"/>
        </w:rPr>
        <w:t>Netherlands),</w:t>
      </w:r>
      <w:r w:rsidRPr="00295F63">
        <w:rPr>
          <w:rFonts w:ascii="Arial" w:hAnsi="Arial" w:cs="Arial"/>
          <w:color w:val="000000" w:themeColor="text1"/>
          <w:sz w:val="22"/>
          <w:szCs w:val="22"/>
        </w:rPr>
        <w:t xml:space="preserve"> the </w:t>
      </w:r>
      <w:r w:rsidR="006D2565" w:rsidRPr="00295F63">
        <w:rPr>
          <w:rFonts w:ascii="Arial" w:hAnsi="Arial" w:cs="Arial"/>
          <w:color w:val="000000" w:themeColor="text1"/>
          <w:sz w:val="22"/>
          <w:szCs w:val="22"/>
        </w:rPr>
        <w:t xml:space="preserve">Amsterdam </w:t>
      </w:r>
      <w:r w:rsidRPr="00295F63">
        <w:rPr>
          <w:rFonts w:ascii="Arial" w:hAnsi="Arial" w:cs="Arial"/>
          <w:color w:val="000000" w:themeColor="text1"/>
          <w:sz w:val="22"/>
          <w:szCs w:val="22"/>
        </w:rPr>
        <w:t>M</w:t>
      </w:r>
      <w:r w:rsidR="006D2565" w:rsidRPr="00295F63">
        <w:rPr>
          <w:rFonts w:ascii="Arial" w:hAnsi="Arial" w:cs="Arial"/>
          <w:color w:val="000000" w:themeColor="text1"/>
          <w:sz w:val="22"/>
          <w:szCs w:val="22"/>
        </w:rPr>
        <w:t>edical Centre (AMC, the Netherlands)</w:t>
      </w:r>
      <w:r w:rsidR="00892122">
        <w:rPr>
          <w:rFonts w:ascii="Arial" w:hAnsi="Arial" w:cs="Arial"/>
          <w:color w:val="000000" w:themeColor="text1"/>
          <w:sz w:val="22"/>
          <w:szCs w:val="22"/>
        </w:rPr>
        <w:t>, and</w:t>
      </w:r>
      <w:r w:rsidRPr="00295F63">
        <w:rPr>
          <w:rFonts w:ascii="Arial" w:hAnsi="Arial" w:cs="Arial"/>
          <w:color w:val="000000" w:themeColor="text1"/>
          <w:sz w:val="22"/>
          <w:szCs w:val="22"/>
        </w:rPr>
        <w:t xml:space="preserve"> the University Hospital in Zurich</w:t>
      </w:r>
      <w:r w:rsidR="00615253">
        <w:rPr>
          <w:rFonts w:ascii="Arial" w:hAnsi="Arial" w:cs="Arial"/>
          <w:color w:val="000000" w:themeColor="text1"/>
          <w:sz w:val="22"/>
          <w:szCs w:val="22"/>
        </w:rPr>
        <w:t xml:space="preserve"> (U</w:t>
      </w:r>
      <w:r w:rsidR="004D46C8">
        <w:rPr>
          <w:rFonts w:ascii="Arial" w:hAnsi="Arial" w:cs="Arial"/>
          <w:color w:val="000000" w:themeColor="text1"/>
          <w:sz w:val="22"/>
          <w:szCs w:val="22"/>
        </w:rPr>
        <w:t>S</w:t>
      </w:r>
      <w:r w:rsidR="00615253">
        <w:rPr>
          <w:rFonts w:ascii="Arial" w:hAnsi="Arial" w:cs="Arial"/>
          <w:color w:val="000000" w:themeColor="text1"/>
          <w:sz w:val="22"/>
          <w:szCs w:val="22"/>
        </w:rPr>
        <w:t>H</w:t>
      </w:r>
      <w:r w:rsidRPr="00295F63">
        <w:rPr>
          <w:rFonts w:ascii="Arial" w:hAnsi="Arial" w:cs="Arial"/>
          <w:color w:val="000000" w:themeColor="text1"/>
          <w:sz w:val="22"/>
          <w:szCs w:val="22"/>
        </w:rPr>
        <w:t>, Switzerland</w:t>
      </w:r>
      <w:r w:rsidR="006D2565" w:rsidRPr="00295F63">
        <w:rPr>
          <w:rFonts w:ascii="Arial" w:hAnsi="Arial" w:cs="Arial"/>
          <w:color w:val="000000" w:themeColor="text1"/>
          <w:sz w:val="22"/>
          <w:szCs w:val="22"/>
        </w:rPr>
        <w:t>)</w:t>
      </w:r>
      <w:r w:rsidRPr="00295F63">
        <w:rPr>
          <w:rFonts w:ascii="Arial" w:hAnsi="Arial" w:cs="Arial"/>
          <w:color w:val="000000" w:themeColor="text1"/>
          <w:sz w:val="22"/>
          <w:szCs w:val="22"/>
        </w:rPr>
        <w:t xml:space="preserve">. Sample details have been published </w:t>
      </w:r>
      <w:r w:rsidR="00D03167">
        <w:rPr>
          <w:rFonts w:ascii="Arial" w:hAnsi="Arial" w:cs="Arial"/>
          <w:color w:val="000000" w:themeColor="text1"/>
          <w:sz w:val="22"/>
          <w:szCs w:val="22"/>
        </w:rPr>
        <w:t xml:space="preserve">previously </w:t>
      </w:r>
      <w:r w:rsidRPr="00295F63">
        <w:rPr>
          <w:rFonts w:ascii="Arial" w:hAnsi="Arial" w:cs="Arial"/>
          <w:color w:val="000000" w:themeColor="text1"/>
          <w:sz w:val="22"/>
          <w:szCs w:val="22"/>
        </w:rPr>
        <w:t>(see Chalavi et al</w:t>
      </w:r>
      <w:r w:rsidR="00FC0C98" w:rsidRPr="00295F63">
        <w:rPr>
          <w:rFonts w:ascii="Arial" w:hAnsi="Arial" w:cs="Arial"/>
          <w:color w:val="000000" w:themeColor="text1"/>
          <w:sz w:val="22"/>
          <w:szCs w:val="22"/>
        </w:rPr>
        <w:t>.</w:t>
      </w:r>
      <w:r w:rsidR="005F6473">
        <w:rPr>
          <w:rFonts w:ascii="Arial" w:hAnsi="Arial" w:cs="Arial"/>
          <w:color w:val="000000" w:themeColor="text1"/>
          <w:sz w:val="22"/>
          <w:szCs w:val="22"/>
        </w:rPr>
        <w:fldChar w:fldCharType="begin" w:fldLock="1"/>
      </w:r>
      <w:r w:rsidR="00521D67">
        <w:rPr>
          <w:rFonts w:ascii="Arial" w:hAnsi="Arial" w:cs="Arial"/>
          <w:color w:val="000000" w:themeColor="text1"/>
          <w:sz w:val="22"/>
          <w:szCs w:val="22"/>
        </w:rPr>
        <w:instrText>ADDIN CSL_CITATION { "citationItems" : [ { "id" : "ITEM-1", "itemData" : { "DOI" : "10.1016/j.pscychresns.2015.01.014", "ISSN" : "1872-7123", "PMID" : "25670646", "abstract" : "Neuroanatomical evidence on the relationship between posttraumatic stress disorder (PTSD) and dissociative disorders is still lacking. We acquired brain structural magnetic resonance imaging (MRI) scans from 17 patients with dissociative identity disorder (DID) and co-morbid PTSD (DID-PTSD) and 16 patients with PTSD but without DID (PTSD-only), and 32 healthy controls (HC), and compared their whole-brain cortical and subcortical gray matter (GM) morphological measurements. Associations between GM measurements and severity of dissociative and depersonalization/derealization symptoms or lifetime traumatizing events were evaluated in the patient groups. DID-PTSD and PTSD-only patients, compared with HC, had similarly smaller cortical GM volumes of the whole brain and of frontal, temporal and insular cortices. DID-PTSD patients additionally showed smaller hippocampal and larger pallidum volumes relative to HC, and larger putamen and pallidum volumes relative to PTSD-only. Severity of lifetime traumatizing events and volume of the hippocampus were negatively correlated. Severity of dissociative and depersonalization/derealization symptoms correlated positively with volume of the putamen and pallidum, and negatively with volume of the inferior parietal cortex. Shared abnormal brain structures in DID-PTSD and PTSD-only, small hippocampal volume in DID-PTSD, more severe lifetime traumatizing events in DID-PTSD compared with PTSD-only, and negative correlations between lifetime traumatizing events and hippocampal volume suggest a trauma-related etiology for DID. Our results provide neurobiological evidence for the side-by-side nosological classification of PTSD and DID in the DSM-5.", "author" : [ { "dropping-particle" : "", "family" : "Chalavi", "given" : "Sima", "non-dropping-particle" : "", "parse-names" : false, "suffix" : "" }, { "dropping-particle" : "", "family" : "Vissia", "given" : "Eline M", "non-dropping-particle" : "", "parse-names" : false, "suffix" : "" }, { "dropping-particle" : "", "family" : "Giesen", "given" : "Mechteld E", "non-dropping-particle" : "", "parse-names" : false, "suffix" : "" }, { "dropping-particle" : "", "family" : "Nijenhuis", "given" : "Ellert R S", "non-dropping-particle" : "", "parse-names" : false, "suffix" : "" }, { "dropping-particle" : "", "family" : "Draijer", "given" : "Nel", "non-dropping-particle" : "", "parse-names" : false, "suffix" : "" }, { "dropping-particle" : "", "family" : "Barker", "given" : "Gareth J", "non-dropping-particle" : "", "parse-names" : false, "suffix" : "" }, { "dropping-particle" : "", "family" : "Veltman", "given" : "Dick J", "non-dropping-particle" : "", "parse-names" : false, "suffix" : "" }, { "dropping-particle" : "", "family" : "Reinders", "given" : "Antje A T S", "non-dropping-particle" : "", "parse-names" : false, "suffix" : "" } ], "container-title" : "Psychiatry research", "id" : "ITEM-1", "issue" : "3", "issued" : { "date-parts" : [ [ "2015", "3", "30" ] ] }, "page" : "308-19", "title" : "Similar cortical but not subcortical gray matter abnormalities in women with posttraumatic stress disorder with versus without dissociative identity disorder.", "type" : "article-journal", "volume" : "231" }, "uris" : [ "http://www.mendeley.com/documents/?uuid=c274a8e7-d6e5-4d5f-8f0d-760c4923a452" ] }, { "id" : "ITEM-2", "itemData" : { "DOI" : "10.1002/hbm.22730", "ISSN" : "1097-0193", "PMID" : "25545784", "abstract" : "Smaller hippocampal volume has been reported in individuals with post-traumatic stress disorder (PTSD) and dissociative identity disorder (DID), but the regional specificity of hippocampal volume reductions and the association with severity of dissociative symptoms and/or childhood traumatization are still unclear. Brain structural magnetic resonance imaging scans were analyzed for 33 outpatients (17 with DID and 16 with PTSD only) and 28 healthy controls (HC), all matched for age, sex, and education. DID patients met criteria for PTSD (PTSD-DID). Hippocampal global and subfield volumes and shape measurements were extracted. We found that global hippocampal volume was significantly smaller in all 33 patients (left: 6.75%; right: 8.33%) compared with HC. PTSD-DID (left: 10.19%; right: 11.37%) and PTSD-only with a history of childhood traumatization (left: 7.11%; right: 7.31%) had significantly smaller global hippocampal volume relative to HC. PTSD-DID had abnormal shape and significantly smaller volume in the CA2-3, CA4-DG and (pre)subiculum compared with HC. In the patient groups, smaller global and subfield hippocampal volumes significantly correlated with higher severity of childhood traumatization and dissociative symptoms. These findings support a childhood trauma-related etiology for abnormal hippocampal morphology in both PTSD and DID and can further the understanding of neurobiological mechanisms involved in these disorders.", "author" : [ { "dropping-particle" : "", "family" : "Chalavi", "given" : "Sima", "non-dropping-particle" : "", "parse-names" : false, "suffix" : "" }, { "dropping-particle" : "", "family" : "Vissia", "given" : "Eline M", "non-dropping-particle" : "", "parse-names" : false, "suffix" : "" }, { "dropping-particle" : "", "family" : "Giesen", "given" : "Mechteld E", "non-dropping-particle" : "", "parse-names" : false, "suffix" : "" }, { "dropping-particle" : "", "family" : "Nijenhuis", "given" : "Ellert R S", "non-dropping-particle" : "", "parse-names" : false, "suffix" : "" }, { "dropping-particle" : "", "family" : "Draijer", "given" : "Nel", "non-dropping-particle" : "", "parse-names" : false, "suffix" : "" }, { "dropping-particle" : "", "family" : "Cole", "given" : "James H", "non-dropping-particle" : "", "parse-names" : false, "suffix" : "" }, { "dropping-particle" : "", "family" : "Dazzan", "given" : "Paola", "non-dropping-particle" : "", "parse-names" : false, "suffix" : "" }, { "dropping-particle" : "", "family" : "Pariante", "given" : "Carmine M", "non-dropping-particle" : "", "parse-names" : false, "suffix" : "" }, { "dropping-particle" : "", "family" : "Madsen", "given" : "Sarah K", "non-dropping-particle" : "", "parse-names" : false, "suffix" : "" }, { "dropping-particle" : "", "family" : "Rajagopalan", "given" : "Priya", "non-dropping-particle" : "", "parse-names" : false, "suffix" : "" }, { "dropping-particle" : "", "family" : "Thompson", "given" : "Paul M", "non-dropping-particle" : "", "parse-names" : false, "suffix" : "" }, { "dropping-particle" : "", "family" : "Toga", "given" : "Arthur W", "non-dropping-particle" : "", "parse-names" : false, "suffix" : "" }, { "dropping-particle" : "", "family" : "Veltman", "given" : "Dick J", "non-dropping-particle" : "", "parse-names" : false, "suffix" : "" }, { "dropping-particle" : "", "family" : "Reinders", "given" : "Antje A T S", "non-dropping-particle" : "", "parse-names" : false, "suffix" : "" } ], "container-title" : "Human brain mapping", "id" : "ITEM-2", "issue" : "5", "issued" : { "date-parts" : [ [ "2015", "5" ] ] }, "page" : "1692-704", "title" : "Abnormal hippocampal morphology in dissociative identity disorder and post-traumatic stress disorder correlates with childhood trauma and dissociative symptoms.", "type" : "article-journal", "volume" : "36" }, "uris" : [ "http://www.mendeley.com/documents/?uuid=13ce85ff-f6c9-4a08-887f-e45f1c7f0c95" ] } ], "mendeley" : { "formattedCitation" : "(3,4)", "plainTextFormattedCitation" : "(3,4)", "previouslyFormattedCitation" : "(3,4)" }, "properties" : { "noteIndex" : 0 }, "schema" : "https://github.com/citation-style-language/schema/raw/master/csl-citation.json" }</w:instrText>
      </w:r>
      <w:r w:rsidR="005F6473">
        <w:rPr>
          <w:rFonts w:ascii="Arial" w:hAnsi="Arial" w:cs="Arial"/>
          <w:color w:val="000000" w:themeColor="text1"/>
          <w:sz w:val="22"/>
          <w:szCs w:val="22"/>
        </w:rPr>
        <w:fldChar w:fldCharType="separate"/>
      </w:r>
      <w:r w:rsidR="0026613A" w:rsidRPr="0026613A">
        <w:rPr>
          <w:rFonts w:ascii="Arial" w:hAnsi="Arial" w:cs="Arial"/>
          <w:noProof/>
          <w:color w:val="000000" w:themeColor="text1"/>
          <w:sz w:val="22"/>
          <w:szCs w:val="22"/>
        </w:rPr>
        <w:t>(3,4)</w:t>
      </w:r>
      <w:r w:rsidR="005F6473">
        <w:rPr>
          <w:rFonts w:ascii="Arial" w:hAnsi="Arial" w:cs="Arial"/>
          <w:color w:val="000000" w:themeColor="text1"/>
          <w:sz w:val="22"/>
          <w:szCs w:val="22"/>
        </w:rPr>
        <w:fldChar w:fldCharType="end"/>
      </w:r>
      <w:r w:rsidRPr="00295F63">
        <w:rPr>
          <w:rFonts w:ascii="Arial" w:hAnsi="Arial" w:cs="Arial"/>
          <w:color w:val="000000" w:themeColor="text1"/>
          <w:sz w:val="22"/>
          <w:szCs w:val="22"/>
        </w:rPr>
        <w:t xml:space="preserve"> for the Dutch sample, and Schlumpf et al</w:t>
      </w:r>
      <w:r w:rsidR="002B0900">
        <w:rPr>
          <w:rFonts w:ascii="Arial" w:hAnsi="Arial" w:cs="Arial"/>
          <w:color w:val="000000" w:themeColor="text1"/>
          <w:sz w:val="22"/>
          <w:szCs w:val="22"/>
        </w:rPr>
        <w:t>.</w:t>
      </w:r>
      <w:r w:rsidR="002B0900">
        <w:rPr>
          <w:rFonts w:ascii="Arial" w:hAnsi="Arial" w:cs="Arial"/>
          <w:color w:val="000000" w:themeColor="text1"/>
          <w:sz w:val="22"/>
          <w:szCs w:val="22"/>
        </w:rPr>
        <w:fldChar w:fldCharType="begin" w:fldLock="1"/>
      </w:r>
      <w:r w:rsidR="00404909">
        <w:rPr>
          <w:rFonts w:ascii="Arial" w:hAnsi="Arial" w:cs="Arial"/>
          <w:color w:val="000000" w:themeColor="text1"/>
          <w:sz w:val="22"/>
          <w:szCs w:val="22"/>
        </w:rPr>
        <w:instrText>ADDIN CSL_CITATION { "citationItems" : [ { "id" : "ITEM-1", "itemData" : { "DOI" : "10.1016/j.nicl.2013.07.002", "ISSN" : "2213-1582", "PMID" : "24179849", "abstract" : "OBJECTIVE: The Theory of Structural Dissociation of the Personality (TSDP) proposes that dissociative identity disorder (DID) patients are fixed in traumatic memories as \"Emotional Parts\" (EP), but mentally avoid these as \"Apparently Normal Parts\" of the personality (ANP). We tested the hypotheses that ANP and EP have different biopsychosocial reactions to subliminally presented angry and neutral faces, and that actors instructed and motivated to simulate ANP and EP react differently. METHODS: Women with DID and matched healthy female actors (CON) were as ANP and EP (DIDanp, DIDep, CONanp, CONep) consecutively exposed to masked neutral and angry faces. Their brain activation was monitored using functional magnetic resonance imaging. The black-and-white dotted masks preceding and following the faces each had a centered colored dot, but in a different color. Participants were instructed to immediately press a button after a perceived color change. State anxiety was assessed after each run using the STAI-S. Final statistical analyses were conducted on 11 DID patients and 15 controls for differences in neural activity, and 13 DID patients and 15 controls for differences in behavior and psychometric measures. RESULTS: Differences between ANP and EP in DID patients and between DID and CON in the two dissociative parts of the personality were generally larger for neutral than for angry faces. The longest reaction times (RTs) existed for DIDep when exposed to neutral faces. Compared to DIDanp, DIDep was associated with more activation of the parahippocampal gyrus. Following neutral faces and compared to CONep, DIDep had more activation in the brainstem, face-sensitive regions, and motor-related areas. DIDanp showed a decreased activity all over the brain in the neutral and angry face condition. There were neither significant within differences nor significant between group differences in state anxiety. CON was not able to simulate genuine ANP and EP biopsychosocially. CONCLUSIONS: DID patients have dissociative part-dependent biopsychosocial reactions to masked neutral and angry faces. As EP, they are overactivated, and as ANP underactivated. The findings support TSDP. Major clinical implications are discussed.", "author" : [ { "dropping-particle" : "", "family" : "Schlumpf", "given" : "Yolanda R", "non-dropping-particle" : "", "parse-names" : false, "suffix" : "" }, { "dropping-particle" : "", "family" : "Nijenhuis", "given" : "Ellert R S", "non-dropping-particle" : "", "parse-names" : false, "suffix" : "" }, { "dropping-particle" : "", "family" : "Chalavi", "given" : "Sima", "non-dropping-particle" : "", "parse-names" : false, "suffix" : "" }, { "dropping-particle" : "V", "family" : "Weder", "given" : "Ekaterina", "non-dropping-particle" : "", "parse-names" : false, "suffix" : "" }, { "dropping-particle" : "", "family" : "Zimmermann", "given" : "Eva", "non-dropping-particle" : "", "parse-names" : false, "suffix" : "" }, { "dropping-particle" : "", "family" : "Luechinger", "given" : "Roger", "non-dropping-particle" : "", "parse-names" : false, "suffix" : "" }, { "dropping-particle" : "", "family" : "Marca", "given" : "Roberto", "non-dropping-particle" : "La", "parse-names" : false, "suffix" : "" }, { "dropping-particle" : "", "family" : "Reinders", "given" : "A A T Simone", "non-dropping-particle" : "", "parse-names" : false, "suffix" : "" }, { "dropping-particle" : "", "family" : "J\u00e4ncke", "given" : "Lutz", "non-dropping-particle" : "", "parse-names" : false, "suffix" : "" } ], "container-title" : "NeuroImage. Clinical", "id" : "ITEM-1", "issued" : { "date-parts" : [ [ "2013", "1" ] ] }, "page" : "54-64", "publisher" : "The Authors", "title" : "Dissociative part-dependent biopsychosocial reactions to backward masked angry and neutral faces: An fMRI study of dissociative identity disorder.", "type" : "article-journal", "volume" : "3" }, "uris" : [ "http://www.mendeley.com/documents/?uuid=c6672f24-12e0-4add-abb4-f0c6b43d5c85" ] }, { "id" : "ITEM-2", "itemData" : { "DOI" : "10.1371/journal.pone.0098795", "ISSN" : "1932-6203", "PMID" : "24922512", "abstract" : "BACKGROUND: In accordance with the Theory of Structural Dissociation of the Personality (TSDP), studies of dissociative identity disorder (DID) have documented that two prototypical dissociative subsystems of the personality, the \"Emotional Part\" (EP) and the \"Apparently Normal Part\" (ANP), have different biopsychosocial reactions to supraliminal and subliminal trauma-related cues and that these reactions cannot be mimicked by fantasy prone healthy controls nor by actors. METHODS: Arterial spin labeling perfusion MRI was used to test the hypotheses that ANP and EP in DID have different perfusion patterns in response to rest instructions, and that perfusion is different in actors who were instructed to simulate ANP and EP. In a follow-up study, regional cerebral blood flow of DID patients was compared with the activation pattern of healthy non-simulating controls. RESULTS: Compared to EP, ANP showed elevated perfusion in bilateral thalamus. Compared to ANP, EP had increased perfusion in the dorsomedial prefrontal cortex, primary somatosensory cortex, and motor-related areas. Perfusion patterns for simulated ANP and EP were different. Fitting their reported role-play strategies, the actors activated brain structures involved in visual mental imagery and empathizing feelings. The follow-up study demonstrated elevated perfusion in the left temporal lobe in DID patients, whereas non-simulating healthy controls had increased activity in areas which mediate the mental construction of past and future episodic events. CONCLUSION: DID involves dissociative part-dependent resting-state differences. Compared to ANP, EP activated brain structures involved in self-referencing and sensorimotor actions more. Actors had different perfusion patterns compared to genuine ANP and EP. Comparisons of neural activity for individuals with DID and non-DID simulating controls suggest that the resting-state features of ANP and EP in DID are not due to imagination. The findings are consistent with TSDP and inconsistent with the idea that DID is caused by suggestion, fantasy proneness, and role-playing.", "author" : [ { "dropping-particle" : "", "family" : "Schlumpf", "given" : "Yolanda R", "non-dropping-particle" : "", "parse-names" : false, "suffix" : "" }, { "dropping-particle" : "", "family" : "Reinders", "given" : "Antje A T S", "non-dropping-particle" : "", "parse-names" : false, "suffix" : "" }, { "dropping-particle" : "", "family" : "Nijenhuis", "given" : "Ellert R S", "non-dropping-particle" : "", "parse-names" : false, "suffix" : "" }, { "dropping-particle" : "", "family" : "Luechinger", "given" : "Roger", "non-dropping-particle" : "", "parse-names" : false, "suffix" : "" }, { "dropping-particle" : "", "family" : "Osch", "given" : "Matthias J P", "non-dropping-particle" : "van", "parse-names" : false, "suffix" : "" }, { "dropping-particle" : "", "family" : "J\u00e4ncke", "given" : "Lutz", "non-dropping-particle" : "", "parse-names" : false, "suffix" : "" } ], "container-title" : "PloS one", "id" : "ITEM-2", "issue" : "6", "issued" : { "date-parts" : [ [ "2014", "1" ] ] }, "page" : "e98795", "title" : "Dissociative part-dependent resting-state activity in dissociative identity disorder: a controlled FMRI perfusion study.", "type" : "article-journal", "volume" : "9" }, "uris" : [ "http://www.mendeley.com/documents/?uuid=8c91e816-a445-43cf-aedc-666d161d8337" ] } ], "mendeley" : { "formattedCitation" : "(25,26)", "plainTextFormattedCitation" : "(25,26)", "previouslyFormattedCitation" : "(25,26)" }, "properties" : { "noteIndex" : 0 }, "schema" : "https://github.com/citation-style-language/schema/raw/master/csl-citation.json" }</w:instrText>
      </w:r>
      <w:r w:rsidR="002B0900">
        <w:rPr>
          <w:rFonts w:ascii="Arial" w:hAnsi="Arial" w:cs="Arial"/>
          <w:color w:val="000000" w:themeColor="text1"/>
          <w:sz w:val="22"/>
          <w:szCs w:val="22"/>
        </w:rPr>
        <w:fldChar w:fldCharType="separate"/>
      </w:r>
      <w:r w:rsidR="00A408CF" w:rsidRPr="00A408CF">
        <w:rPr>
          <w:rFonts w:ascii="Arial" w:hAnsi="Arial" w:cs="Arial"/>
          <w:noProof/>
          <w:color w:val="000000" w:themeColor="text1"/>
          <w:sz w:val="22"/>
          <w:szCs w:val="22"/>
        </w:rPr>
        <w:t>(25,26)</w:t>
      </w:r>
      <w:r w:rsidR="002B0900">
        <w:rPr>
          <w:rFonts w:ascii="Arial" w:hAnsi="Arial" w:cs="Arial"/>
          <w:color w:val="000000" w:themeColor="text1"/>
          <w:sz w:val="22"/>
          <w:szCs w:val="22"/>
        </w:rPr>
        <w:fldChar w:fldCharType="end"/>
      </w:r>
      <w:r w:rsidRPr="00295F63">
        <w:rPr>
          <w:rFonts w:ascii="Arial" w:hAnsi="Arial" w:cs="Arial"/>
          <w:color w:val="000000" w:themeColor="text1"/>
          <w:sz w:val="22"/>
          <w:szCs w:val="22"/>
        </w:rPr>
        <w:t xml:space="preserve"> for the Swiss</w:t>
      </w:r>
      <w:r w:rsidR="00551808" w:rsidRPr="00295F63">
        <w:rPr>
          <w:rFonts w:ascii="Arial" w:hAnsi="Arial" w:cs="Arial"/>
          <w:color w:val="000000" w:themeColor="text1"/>
          <w:sz w:val="22"/>
          <w:szCs w:val="22"/>
        </w:rPr>
        <w:t>/German</w:t>
      </w:r>
      <w:r w:rsidRPr="00295F63">
        <w:rPr>
          <w:rFonts w:ascii="Arial" w:hAnsi="Arial" w:cs="Arial"/>
          <w:color w:val="000000" w:themeColor="text1"/>
          <w:sz w:val="22"/>
          <w:szCs w:val="22"/>
        </w:rPr>
        <w:t xml:space="preserve"> sample). </w:t>
      </w:r>
      <w:r w:rsidR="00D03167">
        <w:rPr>
          <w:rFonts w:ascii="Arial" w:hAnsi="Arial" w:cs="Arial"/>
          <w:color w:val="000000" w:themeColor="text1"/>
          <w:sz w:val="22"/>
          <w:szCs w:val="22"/>
        </w:rPr>
        <w:t>In sum, a</w:t>
      </w:r>
      <w:r w:rsidRPr="00295F63">
        <w:rPr>
          <w:rFonts w:ascii="Arial" w:hAnsi="Arial" w:cs="Arial"/>
          <w:color w:val="000000" w:themeColor="text1"/>
          <w:sz w:val="22"/>
          <w:szCs w:val="22"/>
        </w:rPr>
        <w:t xml:space="preserve">ll </w:t>
      </w:r>
      <w:r w:rsidR="00DA3DD7">
        <w:rPr>
          <w:rFonts w:ascii="Arial" w:hAnsi="Arial" w:cs="Arial"/>
          <w:color w:val="000000" w:themeColor="text1"/>
          <w:sz w:val="22"/>
          <w:szCs w:val="22"/>
        </w:rPr>
        <w:t xml:space="preserve">women </w:t>
      </w:r>
      <w:r w:rsidR="00FC0C98" w:rsidRPr="00295F63">
        <w:rPr>
          <w:rFonts w:ascii="Arial" w:hAnsi="Arial" w:cs="Arial"/>
          <w:color w:val="000000" w:themeColor="text1"/>
          <w:sz w:val="22"/>
          <w:szCs w:val="22"/>
        </w:rPr>
        <w:t xml:space="preserve">with DID </w:t>
      </w:r>
      <w:r w:rsidRPr="00295F63">
        <w:rPr>
          <w:rFonts w:ascii="Arial" w:hAnsi="Arial" w:cs="Arial"/>
          <w:color w:val="000000" w:themeColor="text1"/>
          <w:sz w:val="22"/>
          <w:szCs w:val="22"/>
        </w:rPr>
        <w:t>were</w:t>
      </w:r>
      <w:r w:rsidR="002034D6">
        <w:rPr>
          <w:rFonts w:ascii="Arial" w:hAnsi="Arial" w:cs="Arial"/>
          <w:color w:val="000000" w:themeColor="text1"/>
          <w:sz w:val="22"/>
          <w:szCs w:val="22"/>
        </w:rPr>
        <w:t xml:space="preserve"> </w:t>
      </w:r>
      <w:r w:rsidR="002034D6" w:rsidRPr="00295F63">
        <w:rPr>
          <w:rFonts w:ascii="Arial" w:eastAsiaTheme="minorHAnsi" w:hAnsi="Arial" w:cs="Arial"/>
          <w:sz w:val="22"/>
          <w:szCs w:val="22"/>
          <w:lang w:val="en-GB"/>
        </w:rPr>
        <w:t>recruited from private practitioners of psychiatry and psychotherapy and psy</w:t>
      </w:r>
      <w:r w:rsidR="002034D6">
        <w:rPr>
          <w:rFonts w:ascii="Arial" w:eastAsiaTheme="minorHAnsi" w:hAnsi="Arial" w:cs="Arial"/>
          <w:sz w:val="22"/>
          <w:szCs w:val="22"/>
          <w:lang w:val="en-GB"/>
        </w:rPr>
        <w:t>chiatric outpatient departments and</w:t>
      </w:r>
      <w:r w:rsidRPr="00295F63">
        <w:rPr>
          <w:rFonts w:ascii="Arial" w:hAnsi="Arial" w:cs="Arial"/>
          <w:color w:val="000000" w:themeColor="text1"/>
          <w:sz w:val="22"/>
          <w:szCs w:val="22"/>
        </w:rPr>
        <w:t xml:space="preserve"> initially diagnosed according to DSM-IV criteria. The clinical diagnosis was subsequently confirmed by independent expert clinicians using the Structural Clinical Interview for DSM-IV Dissociative Disorders (SCID-D)</w:t>
      </w:r>
      <w:r w:rsidR="00956EB1" w:rsidRPr="00295F63">
        <w:rPr>
          <w:rFonts w:ascii="Arial" w:hAnsi="Arial" w:cs="Arial"/>
          <w:color w:val="000000" w:themeColor="text1"/>
          <w:sz w:val="22"/>
          <w:szCs w:val="22"/>
        </w:rPr>
        <w:fldChar w:fldCharType="begin" w:fldLock="1"/>
      </w:r>
      <w:r w:rsidR="00404909">
        <w:rPr>
          <w:rFonts w:ascii="Arial" w:hAnsi="Arial" w:cs="Arial"/>
          <w:color w:val="000000" w:themeColor="text1"/>
          <w:sz w:val="22"/>
          <w:szCs w:val="22"/>
        </w:rPr>
        <w:instrText>ADDIN CSL_CITATION { "citationID" : "bFnvxcMQ", "citationItems" : [ { "id" : "ITEM-1", "itemData" : { "ISSN" : "0002-953X; 0002-953X", "abstract" : "OBJECTIVE: The aim of this study was to describe the phenomenology of multiple personality disorder as presented in a group of Dutch patients. METHOD: Seventy-one patients with multiple personality disorder were interviewed with the Dutch version of the Structured Clinical Interview for DSM-III-R Dissociative Disorders (SCID-D); following the SCID-D, the Structured Trauma Interview was administered. Before the interview, patients completed the Dissociative Experiences Scale. RESULTS: The presenting characteristics of the patients showed a striking resemblance to those in several large North American series. Patients had spent an average of 8.2 years in the mental health system prior to correct diagnosis. Patients presented with many different symptoms and frequently received other psychiatric or neurological diagnoses. A history of childhood physical and/or sexual abuse was reported by 94.4% of the subjects, and 80.6% met criteria for posttraumatic stress disorder. CONCLUSIONS: Patients with multiple personality disorder have a stable set of core symptoms throughout North America as well as in Europe. To improve the detection of patients at high risk for multiple personality disorder, standardized instruments for inquiry about dissociative pathology should be used as part of routine diagnostic assessment.", "author" : [ { "dropping-particle" : "", "family" : "Boon", "given" : "S.", "non-dropping-particle" : "", "parse-names" : false, "suffix" : "" }, { "dropping-particle" : "", "family" : "Draijer", "given" : "N.", "non-dropping-particle" : "", "parse-names" : false, "suffix" : "" } ], "container-title" : "The American Journal of Psychiatry", "id" : "ITEM-1", "issue" : "3", "issued" : { "date-parts" : [ [ "1993" ] ] }, "page" : "489-494", "title" : "Multiple personality disorder in The Netherlands: a clinical investigation of 71 patients", "type" : "article-journal", "volume" : "150" }, "uri" : [ "http://zotero.org/users/local/o5n9e82X/items/RWDKRBB2" ], "uris" : [ "http://zotero.org/users/local/o5n9e82X/items/RWDKRBB2", "http://www.mendeley.com/documents/?uuid=714cc21c-c87b-484c-9e34-2dd1405fbec2" ] }, { "id" : "ITEM-2", "itemData" : { "author" : [ { "dropping-particle" : "", "family" : "Steinberg", "given" : "M.", "non-dropping-particle" : "", "parse-names" : false, "suffix" : "" } ], "id" : "ITEM-2", "issued" : { "date-parts" : [ [ "1993" ] ] }, "publisher" : "American Psychiatric Press", "publisher-place" : "Washington DC", "title" : "Structured Clinical Interview for DSM-IV Dissociative Disorders (SCID-D).", "type" : "book" }, "uri" : [ "http://zotero.org/users/local/o5n9e82X/items/8XCJSXUZ" ], "uris" : [ "http://zotero.org/users/local/o5n9e82X/items/8XCJSXUZ", "http://www.mendeley.com/documents/?uuid=d641263b-b73c-438f-9627-9771495709c0" ] } ], "mendeley" : { "formattedCitation" : "(27,28)", "plainTextFormattedCitation" : "(27,28)", "previouslyFormattedCitation" : "(27,28)" }, "properties" : { "formattedCitation" : "(Boon and Draijer 1993a; Steinberg 1993)", "noteIndex" : 0, "plainCitation" : "(Boon and Draijer 1993a; Steinberg 1993)" }, "schema" : "https://github.com/citation-style-language/schema/raw/master/csl-citation.json" }</w:instrText>
      </w:r>
      <w:r w:rsidR="00956EB1" w:rsidRPr="00295F63">
        <w:rPr>
          <w:rFonts w:ascii="Arial" w:hAnsi="Arial" w:cs="Arial"/>
          <w:color w:val="000000" w:themeColor="text1"/>
          <w:sz w:val="22"/>
          <w:szCs w:val="22"/>
        </w:rPr>
        <w:fldChar w:fldCharType="separate"/>
      </w:r>
      <w:r w:rsidR="00A408CF" w:rsidRPr="00A408CF">
        <w:rPr>
          <w:rFonts w:ascii="Arial" w:hAnsi="Arial" w:cs="Arial"/>
          <w:noProof/>
          <w:color w:val="000000" w:themeColor="text1"/>
          <w:sz w:val="22"/>
          <w:szCs w:val="22"/>
        </w:rPr>
        <w:t>(27,28)</w:t>
      </w:r>
      <w:r w:rsidR="00956EB1" w:rsidRPr="00295F63">
        <w:rPr>
          <w:rFonts w:ascii="Arial" w:hAnsi="Arial" w:cs="Arial"/>
          <w:color w:val="000000" w:themeColor="text1"/>
          <w:sz w:val="22"/>
          <w:szCs w:val="22"/>
        </w:rPr>
        <w:fldChar w:fldCharType="end"/>
      </w:r>
      <w:r w:rsidRPr="00295F63">
        <w:rPr>
          <w:rFonts w:ascii="Arial" w:hAnsi="Arial" w:cs="Arial"/>
          <w:color w:val="000000" w:themeColor="text1"/>
          <w:sz w:val="22"/>
          <w:szCs w:val="22"/>
        </w:rPr>
        <w:t xml:space="preserve">. </w:t>
      </w:r>
      <w:r w:rsidR="00AB4FAB" w:rsidRPr="00AC0250">
        <w:rPr>
          <w:rFonts w:ascii="Arial" w:eastAsia="Verdana" w:hAnsi="Arial" w:cs="Arial"/>
          <w:color w:val="000000"/>
          <w:sz w:val="22"/>
          <w:szCs w:val="22"/>
        </w:rPr>
        <w:t xml:space="preserve">Psychoform dissociative symptoms </w:t>
      </w:r>
      <w:r w:rsidR="00AB4FAB" w:rsidRPr="00AC0250">
        <w:rPr>
          <w:rFonts w:ascii="Arial" w:eastAsia="Utopia-Regular" w:hAnsi="Arial" w:cs="Arial"/>
          <w:color w:val="000000" w:themeColor="text1"/>
          <w:sz w:val="22"/>
          <w:szCs w:val="22"/>
        </w:rPr>
        <w:t xml:space="preserve">were measured with the </w:t>
      </w:r>
      <w:r w:rsidR="00AB4FAB" w:rsidRPr="00AC0250">
        <w:rPr>
          <w:rFonts w:ascii="Arial" w:hAnsi="Arial" w:cs="Arial"/>
          <w:color w:val="000000" w:themeColor="text1"/>
          <w:sz w:val="22"/>
          <w:szCs w:val="22"/>
        </w:rPr>
        <w:t>Dissociative Experiences Scale (DES</w:t>
      </w:r>
      <w:r w:rsidR="00AB4FAB" w:rsidRPr="00AC0250">
        <w:rPr>
          <w:rFonts w:ascii="Arial" w:hAnsi="Arial" w:cs="Arial"/>
          <w:color w:val="000000" w:themeColor="text1"/>
          <w:sz w:val="22"/>
          <w:szCs w:val="22"/>
        </w:rPr>
        <w:fldChar w:fldCharType="begin" w:fldLock="1"/>
      </w:r>
      <w:r w:rsidR="004C670C">
        <w:rPr>
          <w:rFonts w:ascii="Arial" w:hAnsi="Arial" w:cs="Arial"/>
          <w:color w:val="000000" w:themeColor="text1"/>
          <w:sz w:val="22"/>
          <w:szCs w:val="22"/>
        </w:rPr>
        <w:instrText>ADDIN CSL_CITATION { "citationID" : "iT8nSklQ", "citationItems" : [ { "id" : "ITEM-1", "itemData" : { "ISSN" : "0022-3018", "PMID" : "3783140", "abstract" : "Dissociation is a lack of the normal integration of thoughts, feelings, and experiences into the stream of consciousness and memory. Dissociation occurs to some degree in normal individuals and is thought to be more prevalent in persons with major mental illnesses. The Dissociative Experiences Scale (DES) has been developed to offer a means of reliably measuring dissociation in normal and clinical populations. Scale items were developed using clinical data and interviews, scales involving memory loss, and consultations with experts in dissociation. Pilot testing was performed to refine the wording and format of the scale. The scale is a 28-item self-report questionnaire. Subjects were asked to make slashes on 100-mm lines to indicate where they fall on a continuum for each question. In addition, demographic information (age, sex, occupation, and level of education) was collected so that the connection between these variables and scale scores could be examined. The mean of all item scores ranges from 0 to 100 and is called the DES score. The scale was administered to between 10 and 39 subjects in each of the following populations: normal adults, late adolescent college students, and persons suffering from alcoholism, agoraphobia, phobic-anxious disorders, posttraumatic stress disorder, schizophrenia, and multiple personality disorder. Reliability testing of the scale showed that the scale had good test-retest and good split-half reliability. Item-scale score correlations were all significant, indicating good internal consistency and construct validity. A Kruskal-Wallis test and post hoc comparisons of the scores of the eight populations provided evidence of the scale's criterion-referenced validity.(ABSTRACT TRUNCATED AT 250 WORDS)", "author" : [ { "dropping-particle" : "", "family" : "Bernstein", "given" : "E M", "non-dropping-particle" : "", "parse-names" : false, "suffix" : "" }, { "dropping-particle" : "", "family" : "Putnam", "given" : "F W", "non-dropping-particle" : "", "parse-names" : false, "suffix" : "" } ], "container-title" : "The Journal of nervous and mental disease", "id" : "ITEM-1", "issue" : "12", "issued" : { "date-parts" : [ [ "1986", "12" ] ] }, "page" : "727-35", "title" : "Development, reliability, and validity of a dissociation scale.", "type" : "article-journal", "volume" : "174" }, "uris" : [ "http://www.mendeley.com/documents/?uuid=77ea5374-c745-42af-949a-6ea32677f6d5" ] } ], "mendeley" : { "formattedCitation" : "(29)", "plainTextFormattedCitation" : "(29)", "previouslyFormattedCitation" : "(29)" }, "properties" : { "formattedCitation" : "(Bernstein and Putnam 1986)", "noteIndex" : 0, "plainCitation" : "(Bernstein and Putnam 1986)" }, "schema" : "https://github.com/citation-style-language/schema/raw/master/csl-citation.json" }</w:instrText>
      </w:r>
      <w:r w:rsidR="00AB4FAB" w:rsidRPr="00AC0250">
        <w:rPr>
          <w:rFonts w:ascii="Arial" w:hAnsi="Arial" w:cs="Arial"/>
          <w:color w:val="000000" w:themeColor="text1"/>
          <w:sz w:val="22"/>
          <w:szCs w:val="22"/>
        </w:rPr>
        <w:fldChar w:fldCharType="separate"/>
      </w:r>
      <w:r w:rsidR="00A43B10" w:rsidRPr="00A43B10">
        <w:rPr>
          <w:rFonts w:ascii="Arial" w:hAnsi="Arial" w:cs="Arial"/>
          <w:noProof/>
          <w:color w:val="000000" w:themeColor="text1"/>
          <w:sz w:val="22"/>
          <w:szCs w:val="22"/>
        </w:rPr>
        <w:t>(29)</w:t>
      </w:r>
      <w:r w:rsidR="00AB4FAB" w:rsidRPr="00AC0250">
        <w:rPr>
          <w:rFonts w:ascii="Arial" w:hAnsi="Arial" w:cs="Arial"/>
          <w:color w:val="000000" w:themeColor="text1"/>
          <w:sz w:val="22"/>
          <w:szCs w:val="22"/>
        </w:rPr>
        <w:fldChar w:fldCharType="end"/>
      </w:r>
      <w:r w:rsidR="00AB4FAB" w:rsidRPr="00AC0250">
        <w:rPr>
          <w:rFonts w:ascii="Arial" w:hAnsi="Arial" w:cs="Arial"/>
          <w:color w:val="000000" w:themeColor="text1"/>
          <w:sz w:val="22"/>
          <w:szCs w:val="22"/>
        </w:rPr>
        <w:t>), and somatoform dissociative symptoms with the Somatoform Dissociation Questionnaire (SDQ-20</w:t>
      </w:r>
      <w:r w:rsidR="00AB4FAB" w:rsidRPr="00AC0250">
        <w:rPr>
          <w:rFonts w:ascii="Arial" w:eastAsia="Verdana" w:hAnsi="Arial" w:cs="Arial"/>
          <w:color w:val="000000" w:themeColor="text1"/>
          <w:sz w:val="22"/>
          <w:szCs w:val="22"/>
        </w:rPr>
        <w:fldChar w:fldCharType="begin" w:fldLock="1"/>
      </w:r>
      <w:r w:rsidR="004C670C">
        <w:rPr>
          <w:rFonts w:ascii="Arial" w:eastAsia="Verdana" w:hAnsi="Arial" w:cs="Arial"/>
          <w:color w:val="000000" w:themeColor="text1"/>
          <w:sz w:val="22"/>
          <w:szCs w:val="22"/>
        </w:rPr>
        <w:instrText>ADDIN CSL_CITATION { "citationID" : "UBirSrKo", "citationItems" : [ { "id" : "ITEM-1", "itemData" : { "ISSN" : "0022-3018; 0022-3018", "abstract" : "According to 19th century French psychiatry and contemporary clinical observations, dissociation pertains to both psychological and somatoform components of experience, reactions, and functions. Because such an instrument was lacking, we aimed to develop a self-reporting questionnaire measuring what we propose to call somatoform dissociation. Patients with dissociate disorder and with other DSM-IV psychiatric diagnoses completed a list of 75 items that, according to clinical experience and expert judgment, could reflect instances of somatoform dissociation. Separate logistic analyses and determination of discriminant indices per item revealed 20 items that best discriminated between those with and without dissociative disorders. Mokken analysis showed that these items are strongly scalable on a dimensional latent scale interpreted to measure somatoform dissociation. Reliability of the scale was high. Construct validity was supported by high intercorrelations with the Dissociation Questionnaire, which measures psychological dissociation, and higher scores of patients with dissociative identity disorder compared with patients with dissociative disorders not otherwise specified. In conclusion, the Somatoform Dissociation Questionnaire (SDQ-20) is a scale of good psychometric quality, which measures somatoform dissociation. The symptoms pertain to negative and positive dissociative phenomena, which were well known in 19th century French psychiatry as the mental stigmata and mental accidents of hysteria.", "author" : [ { "dropping-particle" : "", "family" : "Nijenhuis", "given" : "E. R.S.", "non-dropping-particle" : "", "parse-names" : false, "suffix" : "" }, { "dropping-particle" : "", "family" : "Spinhoven", "given" : "P.", "non-dropping-particle" : "", "parse-names" : false, "suffix" : "" }, { "dropping-particle" : "", "family" : "Dyck", "given" : "R.", "non-dropping-particle" : "Van", "parse-names" : false, "suffix" : "" }, { "dropping-particle" : "", "family" : "Hart", "given" : "O.", "non-dropping-particle" : "Van der", "parse-names" : false, "suffix" : "" }, { "dropping-particle" : "", "family" : "Vanderlinden", "given" : "J.", "non-dropping-particle" : "", "parse-names" : false, "suffix" : "" } ], "container-title" : "The Journal of nervous and mental disease", "id" : "ITEM-1", "issue" : "11", "issued" : { "date-parts" : [ [ "1996" ] ] }, "page" : "688-694", "title" : "The development and psychometric characteristics of the Somatoform Dissociation Questionnaire (SDQ-20)", "type" : "article-journal", "volume" : "184" }, "uri" : [ "http://zotero.org/users/local/o5n9e82X/items/5C5ZRKKS" ], "uris" : [ "http://zotero.org/users/local/o5n9e82X/items/5C5ZRKKS", "http://www.mendeley.com/documents/?uuid=b148e965-7ea4-480a-97af-09f927c3a65b" ] } ], "mendeley" : { "formattedCitation" : "(30)", "plainTextFormattedCitation" : "(30)", "previouslyFormattedCitation" : "(30)" }, "properties" : { "formattedCitation" : "(E. R. S. Nijenhuis et al. 1996)", "noteIndex" : 0, "plainCitation" : "(E. R. S. Nijenhuis et al. 1996)" }, "schema" : "https://github.com/citation-style-language/schema/raw/master/csl-citation.json" }</w:instrText>
      </w:r>
      <w:r w:rsidR="00AB4FAB" w:rsidRPr="00AC0250">
        <w:rPr>
          <w:rFonts w:ascii="Arial" w:eastAsia="Verdana" w:hAnsi="Arial" w:cs="Arial"/>
          <w:color w:val="000000" w:themeColor="text1"/>
          <w:sz w:val="22"/>
          <w:szCs w:val="22"/>
        </w:rPr>
        <w:fldChar w:fldCharType="separate"/>
      </w:r>
      <w:r w:rsidR="00A43B10" w:rsidRPr="00A43B10">
        <w:rPr>
          <w:rFonts w:ascii="Arial" w:hAnsi="Arial" w:cs="Arial"/>
          <w:noProof/>
          <w:color w:val="000000" w:themeColor="text1"/>
          <w:sz w:val="22"/>
          <w:szCs w:val="22"/>
        </w:rPr>
        <w:t>(30)</w:t>
      </w:r>
      <w:r w:rsidR="00AB4FAB" w:rsidRPr="00AC0250">
        <w:rPr>
          <w:rFonts w:ascii="Arial" w:eastAsia="Verdana" w:hAnsi="Arial" w:cs="Arial"/>
          <w:color w:val="000000" w:themeColor="text1"/>
          <w:sz w:val="22"/>
          <w:szCs w:val="22"/>
        </w:rPr>
        <w:fldChar w:fldCharType="end"/>
      </w:r>
      <w:r w:rsidR="00AB4FAB" w:rsidRPr="00AC0250">
        <w:rPr>
          <w:rFonts w:ascii="Arial" w:hAnsi="Arial" w:cs="Arial"/>
          <w:color w:val="000000" w:themeColor="text1"/>
          <w:sz w:val="22"/>
          <w:szCs w:val="22"/>
        </w:rPr>
        <w:t xml:space="preserve">). </w:t>
      </w:r>
      <w:r w:rsidR="00AB4FAB" w:rsidRPr="00AC0250">
        <w:rPr>
          <w:rFonts w:ascii="Arial" w:eastAsia="ArialMT" w:hAnsi="Arial" w:cs="Arial"/>
          <w:color w:val="000000" w:themeColor="text1"/>
          <w:sz w:val="22"/>
          <w:szCs w:val="22"/>
        </w:rPr>
        <w:t>D</w:t>
      </w:r>
      <w:r w:rsidR="00AB4FAB" w:rsidRPr="00AC0250">
        <w:rPr>
          <w:rFonts w:ascii="Arial" w:eastAsia="Verdana" w:hAnsi="Arial" w:cs="Arial"/>
          <w:color w:val="000000" w:themeColor="text1"/>
          <w:sz w:val="22"/>
          <w:szCs w:val="22"/>
        </w:rPr>
        <w:t>epersonalization symptoms were assessed using the C</w:t>
      </w:r>
      <w:r w:rsidR="00AB4FAB" w:rsidRPr="00AC0250">
        <w:rPr>
          <w:rFonts w:ascii="Arial" w:eastAsia="ArialMT" w:hAnsi="Arial" w:cs="Arial"/>
          <w:color w:val="000000" w:themeColor="text1"/>
          <w:sz w:val="22"/>
          <w:szCs w:val="22"/>
        </w:rPr>
        <w:t>ambridge Depersonalization Scale (CDS</w:t>
      </w:r>
      <w:r w:rsidR="00AB4FAB" w:rsidRPr="00AC0250">
        <w:rPr>
          <w:rFonts w:ascii="Arial" w:eastAsia="ArialMT" w:hAnsi="Arial" w:cs="Arial"/>
          <w:color w:val="000000" w:themeColor="text1"/>
          <w:sz w:val="22"/>
          <w:szCs w:val="22"/>
        </w:rPr>
        <w:fldChar w:fldCharType="begin" w:fldLock="1"/>
      </w:r>
      <w:r w:rsidR="004C670C">
        <w:rPr>
          <w:rFonts w:ascii="Arial" w:eastAsia="ArialMT" w:hAnsi="Arial" w:cs="Arial"/>
          <w:color w:val="000000" w:themeColor="text1"/>
          <w:sz w:val="22"/>
          <w:szCs w:val="22"/>
        </w:rPr>
        <w:instrText>ADDIN CSL_CITATION { "citationID" : "dpkYBtXz", "citationItems" : [ { "id" : "ITEM-1", "itemData" : { "ISSN" : "0165-1781; 0165-1781", "abstract" : "Existing self-rating scales to measure depersonalization either show dubious face validity or fail to address the phenomenological complexity of depersonalization. Based on a comprehensive study of the phenomenology of this condition, a new self-rating depersonalization questionnaire was constructed. The Cambridge Depersonalization Scale is meant to capture the frequency and duration of depersonalization symptoms over the 'last 6 months'. It has been tested on a sample of 35 patients with DSM-IV depersonalization disorder, 22 with anxiety disorders, and 20 with temporal lobe epilepsy. Scores were compared against clinical diagnoses (gold standard) and correlated with the depersonalization subscale of the Dissociation Experiences Scale (DES). The scale was able to differentiate patients with DSM-IV depersonalization disorder from the other groups, and showed specific correlations with the depersonalization subscale of the DES (r=0.80; P=0.0007). The scale also showed high internal consistency and good reliability (Cronbach alpha and split-half reliability were 0.89 and 0.92, respectively). The instrument can, therefore, be considered as valid and reliable, and can be profitably used in both clinical and neurobiological research.", "author" : [ { "dropping-particle" : "", "family" : "Sierra", "given" : "M.", "non-dropping-particle" : "", "parse-names" : false, "suffix" : "" }, { "dropping-particle" : "", "family" : "Berrios", "given" : "G. E.", "non-dropping-particle" : "", "parse-names" : false, "suffix" : "" } ], "container-title" : "Psychiatry research", "id" : "ITEM-1", "issue" : "2", "issued" : { "date-parts" : [ [ "2000" ] ] }, "page" : "153-164", "title" : "The Cambridge Depersonalization Scale: a new instrument for the measurement of depersonalization", "type" : "article-journal", "volume" : "93" }, "uri" : [ "http://zotero.org/users/local/o5n9e82X/items/EKNAXE26" ], "uris" : [ "http://zotero.org/users/local/o5n9e82X/items/EKNAXE26", "http://www.mendeley.com/documents/?uuid=c1ae3b10-d0b1-4c8e-9772-ed828830b8aa" ] } ], "mendeley" : { "formattedCitation" : "(31)", "plainTextFormattedCitation" : "(31)", "previouslyFormattedCitation" : "(31)" }, "properties" : { "formattedCitation" : "(Sierra and Berrios 2000)", "noteIndex" : 0, "plainCitation" : "(Sierra and Berrios 2000)" }, "schema" : "https://github.com/citation-style-language/schema/raw/master/csl-citation.json" }</w:instrText>
      </w:r>
      <w:r w:rsidR="00AB4FAB" w:rsidRPr="00AC0250">
        <w:rPr>
          <w:rFonts w:ascii="Arial" w:eastAsia="ArialMT" w:hAnsi="Arial" w:cs="Arial"/>
          <w:color w:val="000000" w:themeColor="text1"/>
          <w:sz w:val="22"/>
          <w:szCs w:val="22"/>
        </w:rPr>
        <w:fldChar w:fldCharType="separate"/>
      </w:r>
      <w:r w:rsidR="00A43B10" w:rsidRPr="00A43B10">
        <w:rPr>
          <w:rFonts w:ascii="Arial" w:hAnsi="Arial" w:cs="Arial"/>
          <w:noProof/>
          <w:color w:val="000000" w:themeColor="text1"/>
          <w:sz w:val="22"/>
          <w:szCs w:val="22"/>
        </w:rPr>
        <w:t>(31)</w:t>
      </w:r>
      <w:r w:rsidR="00AB4FAB" w:rsidRPr="00AC0250">
        <w:rPr>
          <w:rFonts w:ascii="Arial" w:eastAsia="ArialMT" w:hAnsi="Arial" w:cs="Arial"/>
          <w:color w:val="000000" w:themeColor="text1"/>
          <w:sz w:val="22"/>
          <w:szCs w:val="22"/>
        </w:rPr>
        <w:fldChar w:fldCharType="end"/>
      </w:r>
      <w:r w:rsidR="00AB4FAB" w:rsidRPr="00AC0250">
        <w:rPr>
          <w:rFonts w:ascii="Arial" w:eastAsia="ArialMT" w:hAnsi="Arial" w:cs="Arial"/>
          <w:color w:val="000000" w:themeColor="text1"/>
          <w:sz w:val="22"/>
          <w:szCs w:val="22"/>
        </w:rPr>
        <w:t xml:space="preserve">). </w:t>
      </w:r>
      <w:r w:rsidR="00AB4FAB" w:rsidRPr="00AC0250">
        <w:rPr>
          <w:rFonts w:ascii="Arial" w:hAnsi="Arial" w:cs="Arial"/>
          <w:color w:val="000000"/>
          <w:sz w:val="22"/>
          <w:szCs w:val="22"/>
        </w:rPr>
        <w:t xml:space="preserve">Potentially </w:t>
      </w:r>
      <w:r w:rsidR="00AB4FAB" w:rsidRPr="00AC0250">
        <w:rPr>
          <w:rFonts w:ascii="Arial" w:hAnsi="Arial" w:cs="Arial"/>
          <w:sz w:val="22"/>
          <w:szCs w:val="22"/>
        </w:rPr>
        <w:t xml:space="preserve">traumatizing events were </w:t>
      </w:r>
      <w:r w:rsidR="00AB4FAB" w:rsidRPr="00AC0250">
        <w:rPr>
          <w:rFonts w:ascii="Arial" w:hAnsi="Arial" w:cs="Arial"/>
          <w:color w:val="000000" w:themeColor="text1"/>
          <w:sz w:val="22"/>
          <w:szCs w:val="22"/>
        </w:rPr>
        <w:t xml:space="preserve">measured with the </w:t>
      </w:r>
      <w:r w:rsidR="00AB4FAB" w:rsidRPr="00AC0250">
        <w:rPr>
          <w:rFonts w:ascii="Arial" w:hAnsi="Arial" w:cs="Arial"/>
          <w:color w:val="000000" w:themeColor="text1"/>
          <w:sz w:val="22"/>
          <w:szCs w:val="22"/>
          <w:shd w:val="clear" w:color="auto" w:fill="FFFFFF"/>
        </w:rPr>
        <w:t>Traumatic Experiences Checklist</w:t>
      </w:r>
      <w:r w:rsidR="00AB4FAB" w:rsidRPr="00AC0250">
        <w:rPr>
          <w:rFonts w:ascii="Arial" w:hAnsi="Arial" w:cs="Arial"/>
          <w:color w:val="000000" w:themeColor="text1"/>
          <w:sz w:val="22"/>
          <w:szCs w:val="22"/>
        </w:rPr>
        <w:t xml:space="preserve"> (TEC</w:t>
      </w:r>
      <w:r w:rsidR="00AB4FAB" w:rsidRPr="00AC0250">
        <w:rPr>
          <w:rFonts w:ascii="Arial" w:hAnsi="Arial" w:cs="Arial"/>
          <w:color w:val="000000" w:themeColor="text1"/>
          <w:sz w:val="22"/>
          <w:szCs w:val="22"/>
        </w:rPr>
        <w:fldChar w:fldCharType="begin" w:fldLock="1"/>
      </w:r>
      <w:r w:rsidR="004C670C">
        <w:rPr>
          <w:rFonts w:ascii="Arial" w:hAnsi="Arial" w:cs="Arial"/>
          <w:color w:val="000000" w:themeColor="text1"/>
          <w:sz w:val="22"/>
          <w:szCs w:val="22"/>
        </w:rPr>
        <w:instrText>ADDIN CSL_CITATION { "citationID" : "tEaDpBiq", "citationItems" : [ { "id" : "ITEM-1", "itemData" : { "ISSN" : "3", "author" : [ { "dropping-particle" : "", "family" : "Nijenhuis", "given" : "Ellert R. S.", "non-dropping-particle" : "", "parse-names" : false, "suffix" : "" }, { "dropping-particle" : "", "family" : "Hart", "given" : "O.", "non-dropping-particle" : "Van der", "parse-names" : false, "suffix" : "" }, { "dropping-particle" : "", "family" : "Kruger", "given" : "K.", "non-dropping-particle" : "", "parse-names" : false, "suffix" : "" } ], "container-title" : "Clin Psychol Psychother", "id" : "ITEM-1", "issue" : "3", "issued" : { "date-parts" : [ [ "2002" ] ] }, "page" : "200-210", "title" : "The psychometric characteristics of the Traumatic Experiences Checklist (TEC): first findings among psychiatric outpatients", "type" : "article-journal", "volume" : "9" }, "uri" : [ "http://zotero.org/users/local/o5n9e82X/items/R9ETAMHZ" ], "uris" : [ "http://zotero.org/users/local/o5n9e82X/items/R9ETAMHZ", "http://www.mendeley.com/documents/?uuid=e07305e5-0549-4100-b629-a6e89ae3f58e" ] } ], "mendeley" : { "formattedCitation" : "(32)", "plainTextFormattedCitation" : "(32)", "previouslyFormattedCitation" : "(32)" }, "properties" : { "formattedCitation" : "(E. Nijenhuis, Van der Hart, and Kruger 2002)", "noteIndex" : 0, "plainCitation" : "(E. Nijenhuis, Van der Hart, and Kruger 2002)" }, "schema" : "https://github.com/citation-style-language/schema/raw/master/csl-citation.json" }</w:instrText>
      </w:r>
      <w:r w:rsidR="00AB4FAB" w:rsidRPr="00AC0250">
        <w:rPr>
          <w:rFonts w:ascii="Arial" w:hAnsi="Arial" w:cs="Arial"/>
          <w:color w:val="000000" w:themeColor="text1"/>
          <w:sz w:val="22"/>
          <w:szCs w:val="22"/>
        </w:rPr>
        <w:fldChar w:fldCharType="separate"/>
      </w:r>
      <w:r w:rsidR="00A43B10" w:rsidRPr="00A43B10">
        <w:rPr>
          <w:rFonts w:ascii="Arial" w:hAnsi="Arial" w:cs="Arial"/>
          <w:noProof/>
          <w:color w:val="000000" w:themeColor="text1"/>
          <w:sz w:val="22"/>
          <w:szCs w:val="22"/>
        </w:rPr>
        <w:t>(32)</w:t>
      </w:r>
      <w:r w:rsidR="00AB4FAB" w:rsidRPr="00AC0250">
        <w:rPr>
          <w:rFonts w:ascii="Arial" w:hAnsi="Arial" w:cs="Arial"/>
          <w:color w:val="000000" w:themeColor="text1"/>
          <w:sz w:val="22"/>
          <w:szCs w:val="22"/>
        </w:rPr>
        <w:fldChar w:fldCharType="end"/>
      </w:r>
      <w:r w:rsidR="00AB4FAB" w:rsidRPr="00AC0250">
        <w:rPr>
          <w:rFonts w:ascii="Arial" w:hAnsi="Arial" w:cs="Arial"/>
          <w:color w:val="000000" w:themeColor="text1"/>
          <w:sz w:val="22"/>
          <w:szCs w:val="22"/>
        </w:rPr>
        <w:t xml:space="preserve">)). For the five categories </w:t>
      </w:r>
      <w:r w:rsidR="00AB4FAB" w:rsidRPr="00AC0250">
        <w:rPr>
          <w:rFonts w:ascii="Arial" w:hAnsi="Arial" w:cs="Arial"/>
          <w:color w:val="000000"/>
          <w:sz w:val="22"/>
          <w:szCs w:val="22"/>
        </w:rPr>
        <w:t xml:space="preserve">emotional neglect, emotional abuse, physical abuse, sexual abuse, and sexual harassment, </w:t>
      </w:r>
      <w:r w:rsidR="00AB4FAB" w:rsidRPr="00AC0250">
        <w:rPr>
          <w:rFonts w:ascii="Arial" w:hAnsi="Arial" w:cs="Arial"/>
          <w:color w:val="000000" w:themeColor="text1"/>
          <w:sz w:val="22"/>
          <w:szCs w:val="22"/>
        </w:rPr>
        <w:t>the TEC total scores as well as TEC scores from different stages in childhood were calculated, that is for 0-6 years, 7-12 years and 13-18 years. In addition, using a set of paired t-tests, the five TEC categories were statistically compared between the three different childhood age ranges: 0-6 versus 7-12, 0-6 versus 13-18, and 7-12 versus 13-18.</w:t>
      </w:r>
      <w:r w:rsidR="00AB4FAB" w:rsidRPr="00AC0250">
        <w:rPr>
          <w:rFonts w:ascii="Arial" w:eastAsia="Verdana" w:hAnsi="Arial" w:cs="Arial"/>
          <w:color w:val="000000"/>
          <w:sz w:val="22"/>
          <w:szCs w:val="22"/>
        </w:rPr>
        <w:t xml:space="preserve"> </w:t>
      </w:r>
    </w:p>
    <w:p w14:paraId="651A459E" w14:textId="45D42679" w:rsidR="00456C62" w:rsidRPr="008C3C74" w:rsidRDefault="00AB4FAB" w:rsidP="00A263E5">
      <w:pPr>
        <w:spacing w:line="360" w:lineRule="auto"/>
        <w:rPr>
          <w:rFonts w:ascii="Arial" w:eastAsia="Verdana" w:hAnsi="Arial" w:cs="Arial"/>
          <w:color w:val="000000"/>
          <w:sz w:val="22"/>
          <w:szCs w:val="22"/>
        </w:rPr>
      </w:pPr>
      <w:r>
        <w:rPr>
          <w:rFonts w:ascii="Arial" w:hAnsi="Arial" w:cs="Arial"/>
          <w:color w:val="000000" w:themeColor="text1"/>
          <w:sz w:val="22"/>
          <w:szCs w:val="22"/>
        </w:rPr>
        <w:tab/>
      </w:r>
      <w:r w:rsidR="006C508D" w:rsidRPr="00AC0250">
        <w:rPr>
          <w:rFonts w:ascii="Arial" w:hAnsi="Arial" w:cs="Arial"/>
          <w:color w:val="000000" w:themeColor="text1"/>
          <w:sz w:val="22"/>
          <w:szCs w:val="22"/>
        </w:rPr>
        <w:t xml:space="preserve">Out of 32 DID individuals, 29 individuals had co-morbid posttraumatic stress disorder (PTSD), and 3 individuals had PTSD in </w:t>
      </w:r>
      <w:r w:rsidR="006C508D" w:rsidRPr="009D2E77">
        <w:rPr>
          <w:rFonts w:ascii="Arial" w:hAnsi="Arial" w:cs="Arial"/>
          <w:color w:val="000000" w:themeColor="text1"/>
          <w:sz w:val="22"/>
          <w:szCs w:val="22"/>
        </w:rPr>
        <w:t xml:space="preserve">remission. </w:t>
      </w:r>
      <w:r w:rsidR="009D2E77" w:rsidRPr="008C3C74">
        <w:rPr>
          <w:rFonts w:ascii="Arial" w:eastAsia="Times New Roman" w:hAnsi="Arial" w:cs="Arial"/>
          <w:sz w:val="22"/>
          <w:szCs w:val="22"/>
        </w:rPr>
        <w:t xml:space="preserve">The following information concerning other comorbid disorders was obtained based on DSM-IV classification [American Psychiatric Association, 1994] from the participants and/or their personal therapists (N=29): no other comorbid disorders (N=13), somatoform disorder (N=2), depression (chronic N=1, recurrent N=10), dysthymic disorder (N=1), specific phobias (N=3), panic disorder (N=3), anxiety disorder (N=1), obsessive compulsive disorder (N=1), personality disorders (not otherwise specified (N=2), mixed (N=2), borderline personality disorder (N=5), dependent and histrionic (N=1)), eating disorder (N=3), sleeping disorder (N=2), catalepsy (N=1), </w:t>
      </w:r>
      <w:r w:rsidR="009D2E77">
        <w:rPr>
          <w:rFonts w:ascii="Arial" w:hAnsi="Arial" w:cs="Arial"/>
          <w:color w:val="000000"/>
          <w:sz w:val="22"/>
          <w:szCs w:val="22"/>
        </w:rPr>
        <w:t>psychogenic sei</w:t>
      </w:r>
      <w:r w:rsidR="009D2E77" w:rsidRPr="008C3C74">
        <w:rPr>
          <w:rFonts w:ascii="Arial" w:hAnsi="Arial" w:cs="Arial"/>
          <w:color w:val="000000"/>
          <w:sz w:val="22"/>
          <w:szCs w:val="22"/>
        </w:rPr>
        <w:t>zures</w:t>
      </w:r>
      <w:r w:rsidR="009D2E77" w:rsidRPr="008C3C74">
        <w:rPr>
          <w:rFonts w:ascii="Arial" w:hAnsi="Arial" w:cs="Arial"/>
          <w:sz w:val="22"/>
          <w:szCs w:val="22"/>
        </w:rPr>
        <w:t xml:space="preserve"> (N=1), and </w:t>
      </w:r>
      <w:r w:rsidR="00602A6B">
        <w:rPr>
          <w:rFonts w:ascii="Arial" w:hAnsi="Arial" w:cs="Arial"/>
          <w:sz w:val="22"/>
          <w:szCs w:val="22"/>
        </w:rPr>
        <w:t>a</w:t>
      </w:r>
      <w:r w:rsidR="009D2E77" w:rsidRPr="008C3C74">
        <w:rPr>
          <w:rFonts w:ascii="Arial" w:hAnsi="Arial" w:cs="Arial"/>
          <w:sz w:val="22"/>
          <w:szCs w:val="22"/>
        </w:rPr>
        <w:t>ttention deficit</w:t>
      </w:r>
      <w:r w:rsidR="00602A6B">
        <w:rPr>
          <w:rFonts w:ascii="Arial" w:hAnsi="Arial" w:cs="Arial"/>
          <w:sz w:val="22"/>
          <w:szCs w:val="22"/>
        </w:rPr>
        <w:t xml:space="preserve"> disorder</w:t>
      </w:r>
      <w:r w:rsidR="009D2E77" w:rsidRPr="008C3C74">
        <w:rPr>
          <w:rFonts w:ascii="Arial" w:hAnsi="Arial" w:cs="Arial"/>
          <w:sz w:val="22"/>
          <w:szCs w:val="22"/>
        </w:rPr>
        <w:t xml:space="preserve"> (N=1)</w:t>
      </w:r>
      <w:r w:rsidR="009D2E77" w:rsidRPr="008C3C74">
        <w:rPr>
          <w:rFonts w:ascii="Arial" w:eastAsia="Times New Roman" w:hAnsi="Arial" w:cs="Arial"/>
          <w:sz w:val="22"/>
          <w:szCs w:val="22"/>
        </w:rPr>
        <w:t>.</w:t>
      </w:r>
    </w:p>
    <w:p w14:paraId="176AA336" w14:textId="76D20435" w:rsidR="001B4566" w:rsidRPr="00D83179" w:rsidRDefault="00456C62" w:rsidP="00A263E5">
      <w:pPr>
        <w:spacing w:line="360" w:lineRule="auto"/>
        <w:rPr>
          <w:rFonts w:ascii="Arial" w:eastAsiaTheme="minorHAnsi" w:hAnsi="Arial" w:cs="Arial"/>
          <w:sz w:val="22"/>
          <w:szCs w:val="22"/>
          <w:lang w:val="en-GB"/>
        </w:rPr>
      </w:pPr>
      <w:r>
        <w:rPr>
          <w:rFonts w:ascii="Arial" w:hAnsi="Arial" w:cs="Arial"/>
          <w:color w:val="000000" w:themeColor="text1"/>
          <w:sz w:val="22"/>
          <w:szCs w:val="22"/>
        </w:rPr>
        <w:tab/>
      </w:r>
      <w:r w:rsidR="00504562">
        <w:rPr>
          <w:rFonts w:ascii="Arial" w:hAnsi="Arial" w:cs="Arial"/>
          <w:color w:val="000000" w:themeColor="text1"/>
          <w:sz w:val="22"/>
          <w:szCs w:val="22"/>
        </w:rPr>
        <w:t>The DID and control group</w:t>
      </w:r>
      <w:r w:rsidR="003D2878">
        <w:rPr>
          <w:rFonts w:ascii="Arial" w:hAnsi="Arial" w:cs="Arial"/>
          <w:color w:val="000000" w:themeColor="text1"/>
          <w:sz w:val="22"/>
          <w:szCs w:val="22"/>
        </w:rPr>
        <w:t xml:space="preserve"> </w:t>
      </w:r>
      <w:r w:rsidR="001B4566" w:rsidRPr="00295F63">
        <w:rPr>
          <w:rFonts w:ascii="Arial" w:hAnsi="Arial" w:cs="Arial"/>
          <w:color w:val="000000" w:themeColor="text1"/>
          <w:sz w:val="22"/>
          <w:szCs w:val="22"/>
        </w:rPr>
        <w:t xml:space="preserve">were </w:t>
      </w:r>
      <w:r w:rsidR="00875AEA" w:rsidRPr="00295F63">
        <w:rPr>
          <w:rFonts w:ascii="Arial" w:hAnsi="Arial" w:cs="Arial"/>
          <w:color w:val="000000" w:themeColor="text1"/>
          <w:sz w:val="22"/>
          <w:szCs w:val="22"/>
        </w:rPr>
        <w:t xml:space="preserve">carefully </w:t>
      </w:r>
      <w:r w:rsidR="001B4566" w:rsidRPr="00295F63">
        <w:rPr>
          <w:rFonts w:ascii="Arial" w:hAnsi="Arial" w:cs="Arial"/>
          <w:color w:val="000000" w:themeColor="text1"/>
          <w:sz w:val="22"/>
          <w:szCs w:val="22"/>
        </w:rPr>
        <w:t>matched for demographics including age, gender, years of education, and We</w:t>
      </w:r>
      <w:r w:rsidR="003B44CD" w:rsidRPr="00295F63">
        <w:rPr>
          <w:rFonts w:ascii="Arial" w:hAnsi="Arial" w:cs="Arial"/>
          <w:color w:val="000000" w:themeColor="text1"/>
          <w:sz w:val="22"/>
          <w:szCs w:val="22"/>
        </w:rPr>
        <w:t>stern European ancestry</w:t>
      </w:r>
      <w:r w:rsidR="00EF1BBE">
        <w:rPr>
          <w:rFonts w:ascii="Arial" w:hAnsi="Arial" w:cs="Arial"/>
          <w:color w:val="000000" w:themeColor="text1"/>
          <w:sz w:val="22"/>
          <w:szCs w:val="22"/>
        </w:rPr>
        <w:t xml:space="preserve"> (</w:t>
      </w:r>
      <w:r w:rsidR="003C779A">
        <w:rPr>
          <w:rFonts w:ascii="Arial" w:hAnsi="Arial" w:cs="Arial"/>
          <w:color w:val="000000" w:themeColor="text1"/>
          <w:sz w:val="22"/>
          <w:szCs w:val="22"/>
        </w:rPr>
        <w:t>see Table 1</w:t>
      </w:r>
      <w:r w:rsidR="00EF1BBE">
        <w:rPr>
          <w:rFonts w:ascii="Arial" w:hAnsi="Arial" w:cs="Arial"/>
          <w:color w:val="000000" w:themeColor="text1"/>
          <w:sz w:val="22"/>
          <w:szCs w:val="22"/>
        </w:rPr>
        <w:t>)</w:t>
      </w:r>
      <w:r w:rsidR="003B44CD" w:rsidRPr="00295F63">
        <w:rPr>
          <w:rFonts w:ascii="Arial" w:hAnsi="Arial" w:cs="Arial"/>
          <w:color w:val="000000" w:themeColor="text1"/>
          <w:sz w:val="22"/>
          <w:szCs w:val="22"/>
        </w:rPr>
        <w:t xml:space="preserve">. All </w:t>
      </w:r>
      <w:r w:rsidR="00504562">
        <w:rPr>
          <w:rFonts w:ascii="Arial" w:hAnsi="Arial" w:cs="Arial"/>
          <w:color w:val="000000" w:themeColor="text1"/>
          <w:sz w:val="22"/>
          <w:szCs w:val="22"/>
        </w:rPr>
        <w:t>healthy controls</w:t>
      </w:r>
      <w:r w:rsidR="0005759B">
        <w:rPr>
          <w:rFonts w:ascii="Arial" w:hAnsi="Arial" w:cs="Arial"/>
          <w:color w:val="000000" w:themeColor="text1"/>
          <w:sz w:val="22"/>
          <w:szCs w:val="22"/>
        </w:rPr>
        <w:t xml:space="preserve"> </w:t>
      </w:r>
      <w:r w:rsidR="003B44CD" w:rsidRPr="00295F63">
        <w:rPr>
          <w:rFonts w:ascii="Arial" w:hAnsi="Arial" w:cs="Arial"/>
          <w:color w:val="000000" w:themeColor="text1"/>
          <w:sz w:val="22"/>
          <w:szCs w:val="22"/>
        </w:rPr>
        <w:t>were free of medication and psychiatric disorder</w:t>
      </w:r>
      <w:r w:rsidR="003C1BAB">
        <w:rPr>
          <w:rFonts w:ascii="Arial" w:hAnsi="Arial" w:cs="Arial"/>
          <w:color w:val="000000" w:themeColor="text1"/>
          <w:sz w:val="22"/>
          <w:szCs w:val="22"/>
        </w:rPr>
        <w:t>s</w:t>
      </w:r>
      <w:r w:rsidR="001B4566" w:rsidRPr="00295F63">
        <w:rPr>
          <w:rFonts w:ascii="Arial" w:eastAsia="Utopia-Regular" w:hAnsi="Arial" w:cs="Arial"/>
          <w:color w:val="000000" w:themeColor="text1"/>
          <w:sz w:val="22"/>
          <w:szCs w:val="22"/>
        </w:rPr>
        <w:t xml:space="preserve">. </w:t>
      </w:r>
      <w:r w:rsidR="0005759B">
        <w:rPr>
          <w:rFonts w:ascii="Arial" w:eastAsia="Utopia-Regular" w:hAnsi="Arial" w:cs="Arial"/>
          <w:color w:val="000000" w:themeColor="text1"/>
          <w:sz w:val="22"/>
          <w:szCs w:val="22"/>
        </w:rPr>
        <w:t xml:space="preserve">They </w:t>
      </w:r>
      <w:r w:rsidR="003B44CD" w:rsidRPr="00295F63">
        <w:rPr>
          <w:rFonts w:ascii="Arial" w:eastAsia="Utopia-Regular" w:hAnsi="Arial" w:cs="Arial"/>
          <w:color w:val="000000" w:themeColor="text1"/>
          <w:sz w:val="22"/>
          <w:szCs w:val="22"/>
        </w:rPr>
        <w:t xml:space="preserve">scored </w:t>
      </w:r>
      <w:r w:rsidR="001B4566" w:rsidRPr="00295F63">
        <w:rPr>
          <w:rFonts w:ascii="Arial" w:eastAsia="Utopia-Regular" w:hAnsi="Arial" w:cs="Arial"/>
          <w:color w:val="000000" w:themeColor="text1"/>
          <w:sz w:val="22"/>
          <w:szCs w:val="22"/>
        </w:rPr>
        <w:t xml:space="preserve">below a critical cut-off of </w:t>
      </w:r>
      <w:r w:rsidR="00D63DF6" w:rsidRPr="00295F63">
        <w:rPr>
          <w:rFonts w:ascii="Arial" w:eastAsia="Utopia-Regular" w:hAnsi="Arial" w:cs="Arial"/>
          <w:color w:val="000000" w:themeColor="text1"/>
          <w:sz w:val="22"/>
          <w:szCs w:val="22"/>
        </w:rPr>
        <w:t xml:space="preserve">25 </w:t>
      </w:r>
      <w:r w:rsidR="001B4566" w:rsidRPr="00D44A97">
        <w:rPr>
          <w:rFonts w:ascii="Arial" w:eastAsia="Utopia-Regular" w:hAnsi="Arial" w:cs="Arial"/>
          <w:color w:val="000000" w:themeColor="text1"/>
          <w:sz w:val="22"/>
          <w:szCs w:val="22"/>
        </w:rPr>
        <w:t xml:space="preserve">on the </w:t>
      </w:r>
      <w:r w:rsidR="00FC0C98" w:rsidRPr="00D44A97">
        <w:rPr>
          <w:rFonts w:ascii="Arial" w:hAnsi="Arial" w:cs="Arial"/>
          <w:color w:val="000000" w:themeColor="text1"/>
          <w:sz w:val="22"/>
          <w:szCs w:val="22"/>
        </w:rPr>
        <w:t>DES</w:t>
      </w:r>
      <w:r w:rsidR="001B4566" w:rsidRPr="00295F63">
        <w:rPr>
          <w:rFonts w:ascii="Arial" w:hAnsi="Arial" w:cs="Arial"/>
          <w:color w:val="000000" w:themeColor="text1"/>
          <w:sz w:val="22"/>
          <w:szCs w:val="22"/>
        </w:rPr>
        <w:t xml:space="preserve"> and </w:t>
      </w:r>
      <w:r w:rsidR="00D63DF6" w:rsidRPr="00295F63">
        <w:rPr>
          <w:rFonts w:ascii="Arial" w:hAnsi="Arial" w:cs="Arial"/>
          <w:color w:val="000000" w:themeColor="text1"/>
          <w:sz w:val="22"/>
          <w:szCs w:val="22"/>
        </w:rPr>
        <w:t xml:space="preserve">29 on </w:t>
      </w:r>
      <w:r w:rsidR="001B4566" w:rsidRPr="00295F63">
        <w:rPr>
          <w:rFonts w:ascii="Arial" w:hAnsi="Arial" w:cs="Arial"/>
          <w:color w:val="000000" w:themeColor="text1"/>
          <w:sz w:val="22"/>
          <w:szCs w:val="22"/>
        </w:rPr>
        <w:t xml:space="preserve">the </w:t>
      </w:r>
      <w:r w:rsidR="00FC0C98" w:rsidRPr="00295F63">
        <w:rPr>
          <w:rFonts w:ascii="Arial" w:hAnsi="Arial" w:cs="Arial"/>
          <w:color w:val="000000" w:themeColor="text1"/>
          <w:sz w:val="22"/>
          <w:szCs w:val="22"/>
        </w:rPr>
        <w:t>SDQ-20</w:t>
      </w:r>
      <w:r w:rsidR="001B4566" w:rsidRPr="00295F63">
        <w:rPr>
          <w:rFonts w:ascii="Arial" w:hAnsi="Arial" w:cs="Arial"/>
          <w:color w:val="000000" w:themeColor="text1"/>
          <w:sz w:val="22"/>
          <w:szCs w:val="22"/>
        </w:rPr>
        <w:t xml:space="preserve">. </w:t>
      </w:r>
      <w:r w:rsidR="0005759B">
        <w:rPr>
          <w:rFonts w:ascii="Arial" w:eastAsia="ArialMT" w:hAnsi="Arial" w:cs="Arial"/>
          <w:color w:val="000000" w:themeColor="text1"/>
          <w:sz w:val="22"/>
          <w:szCs w:val="22"/>
        </w:rPr>
        <w:t>W</w:t>
      </w:r>
      <w:r w:rsidR="001B4566" w:rsidRPr="00295F63">
        <w:rPr>
          <w:rFonts w:ascii="Arial" w:eastAsia="ArialMT" w:hAnsi="Arial" w:cs="Arial"/>
          <w:color w:val="000000" w:themeColor="text1"/>
          <w:sz w:val="22"/>
          <w:szCs w:val="22"/>
        </w:rPr>
        <w:t xml:space="preserve">e </w:t>
      </w:r>
      <w:r w:rsidR="004D0F86">
        <w:rPr>
          <w:rFonts w:ascii="Arial" w:eastAsia="ArialMT" w:hAnsi="Arial" w:cs="Arial"/>
          <w:color w:val="000000" w:themeColor="text1"/>
          <w:sz w:val="22"/>
          <w:szCs w:val="22"/>
        </w:rPr>
        <w:t xml:space="preserve">had </w:t>
      </w:r>
      <w:r w:rsidR="001B4566" w:rsidRPr="00295F63">
        <w:rPr>
          <w:rFonts w:ascii="Arial" w:eastAsia="ArialMT" w:hAnsi="Arial" w:cs="Arial"/>
          <w:color w:val="000000" w:themeColor="text1"/>
          <w:sz w:val="22"/>
          <w:szCs w:val="22"/>
        </w:rPr>
        <w:t xml:space="preserve">excluded </w:t>
      </w:r>
      <w:r w:rsidR="004D0F86">
        <w:rPr>
          <w:rFonts w:ascii="Arial" w:eastAsia="ArialMT" w:hAnsi="Arial" w:cs="Arial"/>
          <w:color w:val="000000" w:themeColor="text1"/>
          <w:sz w:val="22"/>
          <w:szCs w:val="22"/>
        </w:rPr>
        <w:t>healthy controls</w:t>
      </w:r>
      <w:r w:rsidR="006D2565" w:rsidRPr="00295F63">
        <w:rPr>
          <w:rFonts w:ascii="Arial" w:eastAsia="ArialMT" w:hAnsi="Arial" w:cs="Arial"/>
          <w:color w:val="000000" w:themeColor="text1"/>
          <w:sz w:val="22"/>
          <w:szCs w:val="22"/>
        </w:rPr>
        <w:t xml:space="preserve"> </w:t>
      </w:r>
      <w:r w:rsidR="001B4566" w:rsidRPr="00295F63">
        <w:rPr>
          <w:rFonts w:ascii="Arial" w:eastAsia="ArialMT" w:hAnsi="Arial" w:cs="Arial"/>
          <w:color w:val="000000" w:themeColor="text1"/>
          <w:sz w:val="22"/>
          <w:szCs w:val="22"/>
        </w:rPr>
        <w:t xml:space="preserve">with </w:t>
      </w:r>
      <w:r w:rsidR="001B4566" w:rsidRPr="00295F63">
        <w:rPr>
          <w:rFonts w:ascii="Arial" w:hAnsi="Arial" w:cs="Arial"/>
          <w:color w:val="000000" w:themeColor="text1"/>
          <w:sz w:val="22"/>
          <w:szCs w:val="22"/>
        </w:rPr>
        <w:t xml:space="preserve">potentially traumatizing experiences as measured by the </w:t>
      </w:r>
      <w:r w:rsidR="003B44CD" w:rsidRPr="00295F63">
        <w:rPr>
          <w:rFonts w:ascii="Arial" w:hAnsi="Arial" w:cs="Arial"/>
          <w:color w:val="000000" w:themeColor="text1"/>
          <w:sz w:val="22"/>
          <w:szCs w:val="22"/>
        </w:rPr>
        <w:t>TEC</w:t>
      </w:r>
      <w:r w:rsidR="001B4566" w:rsidRPr="00295F63">
        <w:rPr>
          <w:rFonts w:ascii="Arial" w:hAnsi="Arial" w:cs="Arial"/>
          <w:color w:val="000000" w:themeColor="text1"/>
          <w:sz w:val="22"/>
          <w:szCs w:val="22"/>
        </w:rPr>
        <w:t xml:space="preserve"> from</w:t>
      </w:r>
      <w:r w:rsidR="006D782F" w:rsidRPr="00295F63">
        <w:rPr>
          <w:rFonts w:ascii="Arial" w:hAnsi="Arial" w:cs="Arial"/>
          <w:color w:val="000000" w:themeColor="text1"/>
          <w:sz w:val="22"/>
          <w:szCs w:val="22"/>
        </w:rPr>
        <w:t xml:space="preserve"> participation</w:t>
      </w:r>
      <w:r w:rsidR="001B4566" w:rsidRPr="00295F63">
        <w:rPr>
          <w:rFonts w:ascii="Arial" w:hAnsi="Arial" w:cs="Arial"/>
          <w:color w:val="000000" w:themeColor="text1"/>
          <w:sz w:val="22"/>
          <w:szCs w:val="22"/>
        </w:rPr>
        <w:t xml:space="preserve">. All </w:t>
      </w:r>
      <w:r w:rsidR="001B4566" w:rsidRPr="00295F63">
        <w:rPr>
          <w:rFonts w:ascii="Arial" w:hAnsi="Arial" w:cs="Arial"/>
          <w:color w:val="000000" w:themeColor="text1"/>
          <w:sz w:val="22"/>
          <w:szCs w:val="22"/>
        </w:rPr>
        <w:lastRenderedPageBreak/>
        <w:t>participants gave informed written consent in accordance with ethics approval by the Declaration of Helsinki.</w:t>
      </w:r>
    </w:p>
    <w:p w14:paraId="7104114D" w14:textId="77777777" w:rsidR="00A263E5" w:rsidRDefault="00A263E5" w:rsidP="00A263E5">
      <w:pPr>
        <w:spacing w:line="360" w:lineRule="auto"/>
        <w:rPr>
          <w:rFonts w:ascii="Arial" w:hAnsi="Arial" w:cs="Arial"/>
          <w:b/>
          <w:i/>
          <w:color w:val="000000" w:themeColor="text1"/>
          <w:sz w:val="22"/>
          <w:szCs w:val="22"/>
        </w:rPr>
      </w:pPr>
    </w:p>
    <w:p w14:paraId="4418AA23" w14:textId="77777777" w:rsidR="001B4566" w:rsidRPr="003F2D78" w:rsidRDefault="001B4566" w:rsidP="00A263E5">
      <w:pPr>
        <w:spacing w:line="360" w:lineRule="auto"/>
        <w:rPr>
          <w:rFonts w:ascii="Arial" w:hAnsi="Arial" w:cs="Arial"/>
          <w:b/>
          <w:color w:val="000000" w:themeColor="text1"/>
          <w:sz w:val="22"/>
          <w:szCs w:val="22"/>
        </w:rPr>
      </w:pPr>
      <w:r w:rsidRPr="003F2D78">
        <w:rPr>
          <w:rFonts w:ascii="Arial" w:hAnsi="Arial" w:cs="Arial"/>
          <w:b/>
          <w:i/>
          <w:color w:val="000000" w:themeColor="text1"/>
          <w:sz w:val="22"/>
          <w:szCs w:val="22"/>
        </w:rPr>
        <w:t>MRI Data Acquisition</w:t>
      </w:r>
    </w:p>
    <w:p w14:paraId="0143E19A" w14:textId="1F8296AA" w:rsidR="001B4566" w:rsidRPr="00546435" w:rsidRDefault="00B93A2A" w:rsidP="00A263E5">
      <w:pPr>
        <w:pStyle w:val="Tekstopmerking"/>
        <w:spacing w:line="360" w:lineRule="auto"/>
        <w:rPr>
          <w:rFonts w:ascii="Arial" w:eastAsia="Verdana" w:hAnsi="Arial" w:cs="Arial"/>
          <w:color w:val="000000" w:themeColor="text1"/>
          <w:sz w:val="22"/>
          <w:szCs w:val="22"/>
        </w:rPr>
      </w:pPr>
      <w:r>
        <w:rPr>
          <w:rFonts w:ascii="Arial" w:eastAsia="Verdana" w:hAnsi="Arial" w:cs="Arial"/>
          <w:color w:val="000000" w:themeColor="text1"/>
          <w:sz w:val="22"/>
          <w:szCs w:val="22"/>
        </w:rPr>
        <w:t xml:space="preserve">Data </w:t>
      </w:r>
      <w:r w:rsidR="003D2878">
        <w:rPr>
          <w:rFonts w:ascii="Arial" w:eastAsia="Verdana" w:hAnsi="Arial" w:cs="Arial"/>
          <w:color w:val="000000" w:themeColor="text1"/>
          <w:sz w:val="22"/>
          <w:szCs w:val="22"/>
        </w:rPr>
        <w:t xml:space="preserve">was </w:t>
      </w:r>
      <w:r w:rsidR="001B4566" w:rsidRPr="00295F63">
        <w:rPr>
          <w:rFonts w:ascii="Arial" w:eastAsia="Verdana" w:hAnsi="Arial" w:cs="Arial"/>
          <w:color w:val="000000" w:themeColor="text1"/>
          <w:sz w:val="22"/>
          <w:szCs w:val="22"/>
        </w:rPr>
        <w:t>obtained on 3-T Philips whole</w:t>
      </w:r>
      <w:r w:rsidR="003B3FB9" w:rsidRPr="00295F63">
        <w:rPr>
          <w:rFonts w:ascii="Arial" w:eastAsia="Verdana" w:hAnsi="Arial" w:cs="Arial"/>
          <w:color w:val="000000" w:themeColor="text1"/>
          <w:sz w:val="22"/>
          <w:szCs w:val="22"/>
        </w:rPr>
        <w:t>-</w:t>
      </w:r>
      <w:r w:rsidR="001B4566" w:rsidRPr="00295F63">
        <w:rPr>
          <w:rFonts w:ascii="Arial" w:eastAsia="Verdana" w:hAnsi="Arial" w:cs="Arial"/>
          <w:color w:val="000000" w:themeColor="text1"/>
          <w:sz w:val="22"/>
          <w:szCs w:val="22"/>
        </w:rPr>
        <w:t xml:space="preserve">body </w:t>
      </w:r>
      <w:r w:rsidR="003B3FB9" w:rsidRPr="00295F63">
        <w:rPr>
          <w:rFonts w:ascii="Arial" w:eastAsia="Verdana" w:hAnsi="Arial" w:cs="Arial"/>
          <w:color w:val="000000" w:themeColor="text1"/>
          <w:sz w:val="22"/>
          <w:szCs w:val="22"/>
        </w:rPr>
        <w:t>MRI</w:t>
      </w:r>
      <w:r w:rsidR="001B4566" w:rsidRPr="00295F63">
        <w:rPr>
          <w:rFonts w:ascii="Arial" w:eastAsia="Verdana" w:hAnsi="Arial" w:cs="Arial"/>
          <w:color w:val="000000" w:themeColor="text1"/>
          <w:sz w:val="22"/>
          <w:szCs w:val="22"/>
        </w:rPr>
        <w:t xml:space="preserve"> scanner</w:t>
      </w:r>
      <w:r w:rsidR="003B3FB9" w:rsidRPr="00295F63">
        <w:rPr>
          <w:rFonts w:ascii="Arial" w:eastAsia="Verdana" w:hAnsi="Arial" w:cs="Arial"/>
          <w:color w:val="000000" w:themeColor="text1"/>
          <w:sz w:val="22"/>
          <w:szCs w:val="22"/>
        </w:rPr>
        <w:t>s</w:t>
      </w:r>
      <w:r w:rsidR="001B4566" w:rsidRPr="00295F63">
        <w:rPr>
          <w:rFonts w:ascii="Arial" w:eastAsia="Verdana" w:hAnsi="Arial" w:cs="Arial"/>
          <w:color w:val="000000" w:themeColor="text1"/>
          <w:sz w:val="22"/>
          <w:szCs w:val="22"/>
        </w:rPr>
        <w:t xml:space="preserve"> (Philips Medical Systems, Best, NL). An optimized structural MRI protocol with high</w:t>
      </w:r>
      <w:r>
        <w:rPr>
          <w:rFonts w:ascii="Arial" w:eastAsia="Verdana" w:hAnsi="Arial" w:cs="Arial"/>
          <w:color w:val="000000" w:themeColor="text1"/>
          <w:sz w:val="22"/>
          <w:szCs w:val="22"/>
        </w:rPr>
        <w:t>ly reproducible anatomical measures</w:t>
      </w:r>
      <w:r w:rsidR="001B4566" w:rsidRPr="00295F63">
        <w:rPr>
          <w:rFonts w:ascii="Arial" w:eastAsia="Verdana" w:hAnsi="Arial" w:cs="Arial"/>
          <w:color w:val="000000" w:themeColor="text1"/>
          <w:sz w:val="22"/>
          <w:szCs w:val="22"/>
        </w:rPr>
        <w:t xml:space="preserve"> between centers was used</w:t>
      </w:r>
      <w:r w:rsidR="00956EB1" w:rsidRPr="00295F63">
        <w:rPr>
          <w:rFonts w:ascii="Arial" w:eastAsia="Verdana" w:hAnsi="Arial" w:cs="Arial"/>
          <w:color w:val="000000" w:themeColor="text1"/>
          <w:sz w:val="22"/>
          <w:szCs w:val="22"/>
        </w:rPr>
        <w:fldChar w:fldCharType="begin" w:fldLock="1"/>
      </w:r>
      <w:r w:rsidR="00404909">
        <w:rPr>
          <w:rFonts w:ascii="Arial" w:eastAsia="Verdana" w:hAnsi="Arial" w:cs="Arial"/>
          <w:color w:val="000000" w:themeColor="text1"/>
          <w:sz w:val="22"/>
          <w:szCs w:val="22"/>
        </w:rPr>
        <w:instrText>ADDIN CSL_CITATION { "citationItems" : [ { "id" : "ITEM-1", "itemData" : { "DOI" : "10.1186/1471-2342-12-27", "ISSN" : "1471-2342; 1471-2342", "abstract" : "ABSTRACT: BACKGROUND: Multi-center magnetic resonance imaging (MRI) studies present an opportunity to advance research by pooling data. However, brain measurements derived from MR-images are susceptible to differences in MR-sequence parameters. It is therefore necessary to determine whether there is an interaction between the sequence parameters and the effect of interest, and to minimise any such interaction by careful choice of acquisition parameters. As an exemplar of the issues involved in multi-center studies, we present data from a study in which we aimed to optimize a set of volumetric MRI-protocols to define a protocol giving data that are consistent and reproducible across two centers and over time. METHODS: Optimization was achieved based on data quality and quantitative measures, in our case using FreeSurfer and Voxel Based Morphometry approaches. Our approach consisted of a series of five comparisons. Firstly, a single-center dataset was collected, using a range of candidate pulse-sequences and parameters chosen on the basis of previous literature. Based on initial results, a number of minor changes were implemented to optimize the pulse-sequences, and a second single-center dataset was collected. FreeSurfer data quality measures were compared between datasets in order to determine the best performing sequence(s), which were taken forward to the next stage of testing. We subsequently acquired short-term and long-term two-center reproducibility data, and quantitative measures were again assessed to determine the protocol with the highest reproducibility across centers. Effects of a scanner software and hardware upgrade on the reproducibility of the protocols at one of the centers were also evaluated. RESULTS: Assessing the quality measures from the first two datasets allowed us to define artefact-free protocols, all with high image quality as assessed by FreeSurfer. Comparing the quantitative test and retest measures, we found high within-center reproducibility for all protocols, but lower between-center reproducibility for some protocols than other. The upgrade showed no important effects. CONCLUSIONS: We were able to determine (for the scanners used in this study) an optimised protocol, which gave the highest within- and between-center reproducibility of those assessed, and give details of this protocol here. More generally, we discuss some of the issues raised by multi-center studies and describe a methodical approach to take towards optim\u2026", "author" : [ { "dropping-particle" : "", "family" : "Chalavi", "given" : "S.", "non-dropping-particle" : "", "parse-names" : false, "suffix" : "" }, { "dropping-particle" : "", "family" : "Simmons", "given" : "A.", "non-dropping-particle" : "", "parse-names" : false, "suffix" : "" }, { "dropping-particle" : "", "family" : "Dijkstra", "given" : "H.", "non-dropping-particle" : "", "parse-names" : false, "suffix" : "" }, { "dropping-particle" : "", "family" : "Barker", "given" : "G. J.", "non-dropping-particle" : "", "parse-names" : false, "suffix" : "" }, { "dropping-particle" : "", "family" : "Reinders", "given" : "A. A.", "non-dropping-particle" : "", "parse-names" : false, "suffix" : "" } ], "container-title" : "BMC medical imaging", "id" : "ITEM-1", "issue" : "1", "issued" : { "date-parts" : [ [ "2012" ] ] }, "page" : "27", "title" : "Quantitative and qualitative assessment of structural magnetic resonance imaging data in a two-center study", "type" : "article-journal", "volume" : "12" }, "uris" : [ "http://www.mendeley.com/documents/?uuid=fcdefa6f-d2a7-4eec-a365-dd655f81b032" ] } ], "mendeley" : { "formattedCitation" : "(33)", "plainTextFormattedCitation" : "(33)", "previouslyFormattedCitation" : "(33)" }, "properties" : { "noteIndex" : 0 }, "schema" : "https://github.com/citation-style-language/schema/raw/master/csl-citation.json" }</w:instrText>
      </w:r>
      <w:r w:rsidR="00956EB1" w:rsidRPr="00295F63">
        <w:rPr>
          <w:rFonts w:ascii="Arial" w:eastAsia="Verdana" w:hAnsi="Arial" w:cs="Arial"/>
          <w:color w:val="000000" w:themeColor="text1"/>
          <w:sz w:val="22"/>
          <w:szCs w:val="22"/>
        </w:rPr>
        <w:fldChar w:fldCharType="separate"/>
      </w:r>
      <w:r w:rsidR="00A408CF" w:rsidRPr="00A408CF">
        <w:rPr>
          <w:rFonts w:ascii="Arial" w:eastAsia="Verdana" w:hAnsi="Arial" w:cs="Arial"/>
          <w:noProof/>
          <w:color w:val="000000" w:themeColor="text1"/>
          <w:sz w:val="22"/>
          <w:szCs w:val="22"/>
        </w:rPr>
        <w:t>(33)</w:t>
      </w:r>
      <w:r w:rsidR="00956EB1" w:rsidRPr="00295F63">
        <w:rPr>
          <w:rFonts w:ascii="Arial" w:eastAsia="Verdana" w:hAnsi="Arial" w:cs="Arial"/>
          <w:color w:val="000000" w:themeColor="text1"/>
          <w:sz w:val="22"/>
          <w:szCs w:val="22"/>
        </w:rPr>
        <w:fldChar w:fldCharType="end"/>
      </w:r>
      <w:r w:rsidR="009C45E5" w:rsidRPr="00295F63">
        <w:rPr>
          <w:rFonts w:ascii="Arial" w:eastAsia="Verdana" w:hAnsi="Arial" w:cs="Arial"/>
          <w:color w:val="000000" w:themeColor="text1"/>
          <w:sz w:val="22"/>
          <w:szCs w:val="22"/>
        </w:rPr>
        <w:t xml:space="preserve"> a</w:t>
      </w:r>
      <w:r w:rsidR="002D1FC6" w:rsidRPr="00295F63">
        <w:rPr>
          <w:rFonts w:ascii="Arial" w:eastAsia="Verdana" w:hAnsi="Arial" w:cs="Arial"/>
          <w:color w:val="000000" w:themeColor="text1"/>
          <w:sz w:val="22"/>
          <w:szCs w:val="22"/>
        </w:rPr>
        <w:t xml:space="preserve">t all three centers </w:t>
      </w:r>
      <w:r w:rsidR="009C45E5" w:rsidRPr="00295F63">
        <w:rPr>
          <w:rFonts w:ascii="Arial" w:eastAsia="Verdana" w:hAnsi="Arial" w:cs="Arial"/>
          <w:color w:val="000000" w:themeColor="text1"/>
          <w:sz w:val="22"/>
          <w:szCs w:val="22"/>
        </w:rPr>
        <w:t xml:space="preserve">and </w:t>
      </w:r>
      <w:r w:rsidR="002D1FC6" w:rsidRPr="00295F63">
        <w:rPr>
          <w:rFonts w:ascii="Arial" w:eastAsia="Verdana" w:hAnsi="Arial" w:cs="Arial"/>
          <w:color w:val="000000" w:themeColor="text1"/>
          <w:sz w:val="22"/>
          <w:szCs w:val="22"/>
        </w:rPr>
        <w:t>T1-weig</w:t>
      </w:r>
      <w:r w:rsidR="001B4566" w:rsidRPr="00295F63">
        <w:rPr>
          <w:rFonts w:ascii="Arial" w:eastAsia="Verdana" w:hAnsi="Arial" w:cs="Arial"/>
          <w:color w:val="000000" w:themeColor="text1"/>
          <w:sz w:val="22"/>
          <w:szCs w:val="22"/>
        </w:rPr>
        <w:t>hted anatomical MR scans were acquired (3D MPRAGE, TR=9.95ms, TE=5.6ms, flip-angle=8º, 1x1x1mm</w:t>
      </w:r>
      <w:r w:rsidR="00D63DF6" w:rsidRPr="00295F63">
        <w:rPr>
          <w:rFonts w:ascii="Arial" w:eastAsia="Verdana" w:hAnsi="Arial" w:cs="Arial"/>
          <w:color w:val="000000" w:themeColor="text1"/>
          <w:sz w:val="22"/>
          <w:szCs w:val="22"/>
          <w:vertAlign w:val="superscript"/>
        </w:rPr>
        <w:t>3</w:t>
      </w:r>
      <w:r w:rsidR="001B4566" w:rsidRPr="00295F63">
        <w:rPr>
          <w:rFonts w:ascii="Arial" w:eastAsia="Verdana" w:hAnsi="Arial" w:cs="Arial"/>
          <w:color w:val="000000" w:themeColor="text1"/>
          <w:sz w:val="22"/>
          <w:szCs w:val="22"/>
        </w:rPr>
        <w:t xml:space="preserve"> voxels, number of slices=160, total scan-time=10m14s). Approximately equal ratios of patients to controls were acquired </w:t>
      </w:r>
      <w:r w:rsidR="009C45E5" w:rsidRPr="00295F63">
        <w:rPr>
          <w:rFonts w:ascii="Arial" w:eastAsia="Verdana" w:hAnsi="Arial" w:cs="Arial"/>
          <w:color w:val="000000" w:themeColor="text1"/>
          <w:sz w:val="22"/>
          <w:szCs w:val="22"/>
        </w:rPr>
        <w:t xml:space="preserve">in an interleaved manner </w:t>
      </w:r>
      <w:r w:rsidR="001B4566" w:rsidRPr="00295F63">
        <w:rPr>
          <w:rFonts w:ascii="Arial" w:eastAsia="Verdana" w:hAnsi="Arial" w:cs="Arial"/>
          <w:color w:val="000000" w:themeColor="text1"/>
          <w:sz w:val="22"/>
          <w:szCs w:val="22"/>
        </w:rPr>
        <w:t>within cent</w:t>
      </w:r>
      <w:r w:rsidR="003B3FB9" w:rsidRPr="00295F63">
        <w:rPr>
          <w:rFonts w:ascii="Arial" w:eastAsia="Verdana" w:hAnsi="Arial" w:cs="Arial"/>
          <w:color w:val="000000" w:themeColor="text1"/>
          <w:sz w:val="22"/>
          <w:szCs w:val="22"/>
        </w:rPr>
        <w:t>er</w:t>
      </w:r>
      <w:r w:rsidR="001B4566" w:rsidRPr="00295F63">
        <w:rPr>
          <w:rFonts w:ascii="Arial" w:eastAsia="Verdana" w:hAnsi="Arial" w:cs="Arial"/>
          <w:color w:val="000000" w:themeColor="text1"/>
          <w:sz w:val="22"/>
          <w:szCs w:val="22"/>
        </w:rPr>
        <w:t>s (10:17 at the UMCG, 7:11 at the AMC, 15:15 in Zurich</w:t>
      </w:r>
      <w:r w:rsidR="00CA11B3">
        <w:rPr>
          <w:rFonts w:ascii="Arial" w:eastAsia="Verdana" w:hAnsi="Arial" w:cs="Arial"/>
          <w:color w:val="000000" w:themeColor="text1"/>
          <w:sz w:val="22"/>
          <w:szCs w:val="22"/>
        </w:rPr>
        <w:t>;</w:t>
      </w:r>
      <w:r w:rsidR="00CA11B3" w:rsidRPr="00295F63">
        <w:rPr>
          <w:rFonts w:ascii="Arial" w:eastAsia="Verdana" w:hAnsi="Arial" w:cs="Arial"/>
          <w:color w:val="000000" w:themeColor="text1"/>
          <w:sz w:val="22"/>
          <w:szCs w:val="22"/>
        </w:rPr>
        <w:t xml:space="preserve"> </w:t>
      </w:r>
      <w:r w:rsidR="001B4566" w:rsidRPr="00295F63">
        <w:rPr>
          <w:rFonts w:ascii="Arial" w:eastAsia="Verdana" w:hAnsi="Arial" w:cs="Arial"/>
          <w:color w:val="000000" w:themeColor="text1"/>
          <w:sz w:val="22"/>
          <w:szCs w:val="22"/>
        </w:rPr>
        <w:t xml:space="preserve">patients:controls respectively). </w:t>
      </w:r>
      <w:r w:rsidR="001B4566" w:rsidRPr="00295F63">
        <w:rPr>
          <w:rFonts w:ascii="Arial" w:eastAsia="Times New Roman" w:hAnsi="Arial" w:cs="Arial"/>
          <w:color w:val="000000" w:themeColor="text1"/>
          <w:sz w:val="22"/>
          <w:szCs w:val="22"/>
        </w:rPr>
        <w:t>The number of participants in each group did not differ across centers (Chi square=1.01, p=0.603).</w:t>
      </w:r>
    </w:p>
    <w:p w14:paraId="6AFCD240" w14:textId="77777777" w:rsidR="00FA4076" w:rsidRPr="00491267" w:rsidRDefault="00FA4076" w:rsidP="00A263E5">
      <w:pPr>
        <w:spacing w:line="360" w:lineRule="auto"/>
        <w:rPr>
          <w:rFonts w:ascii="Arial" w:hAnsi="Arial" w:cs="Arial"/>
          <w:color w:val="000000" w:themeColor="text1"/>
          <w:sz w:val="22"/>
          <w:szCs w:val="22"/>
        </w:rPr>
      </w:pPr>
    </w:p>
    <w:p w14:paraId="232B5D52" w14:textId="240DAC3A" w:rsidR="00370760" w:rsidRPr="000D01FD" w:rsidRDefault="00370760" w:rsidP="00C24874">
      <w:pPr>
        <w:spacing w:line="360" w:lineRule="auto"/>
        <w:rPr>
          <w:rFonts w:ascii="Arial" w:hAnsi="Arial" w:cs="Arial"/>
          <w:b/>
          <w:i/>
          <w:color w:val="000000" w:themeColor="text1"/>
          <w:sz w:val="22"/>
          <w:szCs w:val="22"/>
        </w:rPr>
      </w:pPr>
      <w:r w:rsidRPr="000D01FD">
        <w:rPr>
          <w:rFonts w:ascii="Arial" w:hAnsi="Arial" w:cs="Arial"/>
          <w:b/>
          <w:i/>
          <w:color w:val="000000" w:themeColor="text1"/>
          <w:sz w:val="22"/>
          <w:szCs w:val="22"/>
        </w:rPr>
        <w:t>Cortical Surface Reconstruction using FreeSurfer</w:t>
      </w:r>
    </w:p>
    <w:p w14:paraId="51A7D2A1" w14:textId="439062E0" w:rsidR="00370760" w:rsidRPr="000D01FD" w:rsidRDefault="00370760" w:rsidP="00370760">
      <w:pPr>
        <w:pStyle w:val="Geenafstand"/>
        <w:spacing w:line="360" w:lineRule="auto"/>
        <w:rPr>
          <w:rFonts w:ascii="Arial" w:hAnsi="Arial" w:cs="Arial"/>
          <w:b/>
          <w:color w:val="000000" w:themeColor="text1"/>
          <w:sz w:val="22"/>
          <w:szCs w:val="22"/>
        </w:rPr>
      </w:pPr>
      <w:r w:rsidRPr="000D01FD">
        <w:rPr>
          <w:rFonts w:ascii="Arial" w:hAnsi="Arial" w:cs="Arial"/>
          <w:color w:val="000000" w:themeColor="text1"/>
          <w:sz w:val="22"/>
          <w:szCs w:val="22"/>
        </w:rPr>
        <w:t>The FreeSurfer analysis suite (</w:t>
      </w:r>
      <w:r w:rsidRPr="000D01FD">
        <w:rPr>
          <w:rFonts w:ascii="Arial" w:hAnsi="Arial" w:cs="Arial"/>
          <w:i/>
          <w:color w:val="000000" w:themeColor="text1"/>
          <w:sz w:val="22"/>
          <w:szCs w:val="22"/>
        </w:rPr>
        <w:t xml:space="preserve">vFS5.3.0 release, </w:t>
      </w:r>
      <w:r w:rsidRPr="000D01FD">
        <w:rPr>
          <w:rFonts w:ascii="Arial" w:hAnsi="Arial" w:cs="Arial"/>
          <w:color w:val="000000" w:themeColor="text1"/>
          <w:sz w:val="22"/>
          <w:szCs w:val="22"/>
        </w:rPr>
        <w:t>http://surfer.nmr.mgh.harvard.edu/) was used to derive models of the cortical surface in each T1-weighted image. These well-validated and fully automated procedures have been extensively described elsewhere</w:t>
      </w:r>
      <w:r w:rsidRPr="000D01FD">
        <w:rPr>
          <w:rFonts w:ascii="Arial" w:hAnsi="Arial" w:cs="Arial"/>
          <w:color w:val="000000" w:themeColor="text1"/>
          <w:sz w:val="22"/>
          <w:szCs w:val="22"/>
        </w:rPr>
        <w:fldChar w:fldCharType="begin" w:fldLock="1"/>
      </w:r>
      <w:r w:rsidR="00404909">
        <w:rPr>
          <w:rFonts w:ascii="Arial" w:hAnsi="Arial" w:cs="Arial"/>
          <w:color w:val="000000" w:themeColor="text1"/>
          <w:sz w:val="22"/>
          <w:szCs w:val="22"/>
        </w:rPr>
        <w:instrText>ADDIN CSL_CITATION { "citationItems" : [ { "id" : "ITEM-1", "itemData" : { "DOI" : "10.1006/nimg.1998.0395", "ISBN" : "1424407885", "ISSN" : "1053-8119", "PMID" : "9931268", "abstract" : "Several properties of the cerebral cortex, including its columnar and laminar organization, as well as the topographic organization of cortical areas, can only be properly understood in the context of the intrinsic two-dimensional structure of the cortical surface. In order to study such cortical properties in humans, it is necessary to obtain an accurate and explicit represen- tation of the cortical surface in individual subjects. Here we describe a set of automated procedures for obtaining accurate reconstructions of the cortical sur- face, which have been applied to data from more than 100 subjects, requiring little or no manual interven- tion. Automated routines for unfolding and flattening the cortical surface are described in a companion paper. These procedures allow for the routine use of cortical surface-based analysis and visualization meth- ods in functional brain imaging", "author" : [ { "dropping-particle" : "", "family" : "Dale", "given" : "Anders M", "non-dropping-particle" : "", "parse-names" : false, "suffix" : "" }, { "dropping-particle" : "", "family" : "Fischl", "given" : "Bruce", "non-dropping-particle" : "", "parse-names" : false, "suffix" : "" }, { "dropping-particle" : "", "family" : "Sereno", "given" : "Martin I", "non-dropping-particle" : "", "parse-names" : false, "suffix" : "" } ], "container-title" : "NeuroImage", "id" : "ITEM-1", "issue" : "2", "issued" : { "date-parts" : [ [ "1999" ] ] }, "page" : "179-194", "title" : "Cortical surface-based analysis. I. Segmentation and surface reconstruction", "type" : "article-journal", "volume" : "9" }, "uris" : [ "http://www.mendeley.com/documents/?uuid=87cd6017-210b-49a1-a35b-b6ffee32e23b" ] }, { "id" : "ITEM-2", "itemData" : { "DOI" : "10.1006/nimg.1998.0396", "ISSN" : "1053-8119", "PMID" : "9931269", "abstract" : "The surface of the human cerebral cortex is a highly folded sheet with the majority of its surface area buried within folds. As such, it is a difficult domain for computational as well as visualization purposes. We have therefore designed a set of procedures for modifying the representation of the cortical surface to (i) inflate it so that activity buried inside sulci may be visualized, (ii) cut and flatten an entire hemisphere, and (iii) transform a hemisphere into a simple parameterizable surface such as a sphere for the purpose of establishing a surface-based coordinate system.", "author" : [ { "dropping-particle" : "", "family" : "Fischl", "given" : "B", "non-dropping-particle" : "", "parse-names" : false, "suffix" : "" }, { "dropping-particle" : "", "family" : "Sereno", "given" : "M I", "non-dropping-particle" : "", "parse-names" : false, "suffix" : "" }, { "dropping-particle" : "", "family" : "Dale", "given" : "A M", "non-dropping-particle" : "", "parse-names" : false, "suffix" : "" } ], "container-title" : "NeuroImage", "id" : "ITEM-2", "issue" : "2", "issued" : { "date-parts" : [ [ "1999", "2" ] ] }, "page" : "195-207", "title" : "Cortical surface-based analysis. II: Inflation, flattening, and a surface-based coordinate system.", "type" : "article-journal", "volume" : "9" }, "uris" : [ "http://www.mendeley.com/documents/?uuid=d2e9ba0a-923e-473d-a15e-18c05414b2d5" ] }, { "id" : "ITEM-3", "itemData" : { "DOI" : "10.1073/pnas.200033797", "ISSN" : "0027-8424", "PMID" : "10984517", "abstract" : "Accurate and automated methods for measuring the thickness of human cerebral cortex could provide powerful tools for diagnosing and studying a variety of neurodegenerative and psychiatric disorders. Manual methods for estimating cortical thickness from neuroimaging data are labor intensive, requiring several days of effort by a trained anatomist. Furthermore, the highly folded nature of the cortex is problematic for manual techniques, frequently resulting in measurement errors in regions in which the cortical surface is not perpendicular to any of the cardinal axes. As a consequence, it has been impractical to obtain accurate thickness estimates for the entire cortex in individual subjects, or group statistics for patient or control populations. Here, we present an automated method for accurately measuring the thickness of the cerebral cortex across the entire brain and for generating cross-subject statistics in a coordinate system based on cortical anatomy. The intersubject standard deviation of the thickness measures is shown to be less than 0.5 mm, implying the ability to detect focal atrophy in small populations or even individual subjects. The reliability and accuracy of this new method are assessed by within-subject test-retest studies, as well as by comparison of cross-subject regional thickness measures with published values.", "author" : [ { "dropping-particle" : "", "family" : "Fischl", "given" : "B", "non-dropping-particle" : "", "parse-names" : false, "suffix" : "" }, { "dropping-particle" : "", "family" : "Dale", "given" : "a M", "non-dropping-particle" : "", "parse-names" : false, "suffix" : "" } ], "container-title" : "Proceedings of the National Academy of Sciences of the United States of America", "id" : "ITEM-3", "issue" : "20", "issued" : { "date-parts" : [ [ "2000", "9", "26" ] ] }, "page" : "11050-5", "title" : "Measuring the thickness of the human cerebral cortex from magnetic resonance images.", "type" : "article-journal", "volume" : "97" }, "uris" : [ "http://www.mendeley.com/documents/?uuid=dd39343a-6956-4943-b6b9-032d81e222d8" ] }, { "id" : "ITEM-4", "itemData" : { "DOI" : "10.1016/j.neuroimage.2004.03.032", "ISSN" : "1053-8119", "PMID" : "15219578", "abstract" : "We present a novel skull-stripping algorithm based on a hybrid approach that combines watershed algorithms and deformable surface models. Our method takes advantage of the robustness of the former as well as the surface information available to the latter. The algorithm first localizes a single white matter voxel in a T1-weighted MRI image, and uses it to create a global minimum in the white matter before applying a watershed algorithm with a preflooding height. The watershed algorithm builds an initial estimate of the brain volume based on the three-dimensional connectivity of the white matter. This first step is robust, and performs well in the presence of intensity nonuniformities and noise, but may erode parts of the cortex that abut bright nonbrain structures such as the eye sockets, or may remove parts of the cerebellum. To correct these inaccuracies, a surface deformation process fits a smooth surface to the masked volume, allowing the incorporation of geometric constraints into the skull-stripping procedure. A statistical atlas, generated from a set of accurately segmented brains, is used to validate and potentially correct the segmentation, and the MRI intensity values are locally re-estimated at the boundary of the brain. Finally, a high-resolution surface deformation is performed that accurately matches the outer boundary of the brain, resulting in a robust and automated procedure. Studies by our group and others outperform other publicly available skull-stripping tools.", "author" : [ { "dropping-particle" : "", "family" : "S\u00e9gonne", "given" : "F", "non-dropping-particle" : "", "parse-names" : false, "suffix" : "" }, { "dropping-particle" : "", "family" : "Dale", "given" : "A M", "non-dropping-particle" : "", "parse-names" : false, "suffix" : "" }, { "dropping-particle" : "", "family" : "Busa", "given" : "E", "non-dropping-particle" : "", "parse-names" : false, "suffix" : "" }, { "dropping-particle" : "", "family" : "Glessner", "given" : "M", "non-dropping-particle" : "", "parse-names" : false, "suffix" : "" }, { "dropping-particle" : "", "family" : "Salat", "given" : "D", "non-dropping-particle" : "", "parse-names" : false, "suffix" : "" }, { "dropping-particle" : "", "family" : "Hahn", "given" : "H K", "non-dropping-particle" : "", "parse-names" : false, "suffix" : "" }, { "dropping-particle" : "", "family" : "Fischl", "given" : "B", "non-dropping-particle" : "", "parse-names" : false, "suffix" : "" } ], "container-title" : "NeuroImage", "id" : "ITEM-4", "issue" : "3", "issued" : { "date-parts" : [ [ "2004", "7" ] ] }, "page" : "1060-75", "title" : "A hybrid approach to the skull stripping problem in MRI.", "type" : "article-journal", "volume" : "22" }, "uris" : [ "http://www.mendeley.com/documents/?uuid=fbf576f6-fd84-4299-b01e-66890781089b" ] } ], "mendeley" : { "formattedCitation" : "(34\u201337)", "plainTextFormattedCitation" : "(34\u201337)", "previouslyFormattedCitation" : "(34\u201337)" }, "properties" : { "noteIndex" : 0 }, "schema" : "https://github.com/citation-style-language/schema/raw/master/csl-citation.json" }</w:instrText>
      </w:r>
      <w:r w:rsidRPr="000D01FD">
        <w:rPr>
          <w:rFonts w:ascii="Arial" w:hAnsi="Arial" w:cs="Arial"/>
          <w:color w:val="000000" w:themeColor="text1"/>
          <w:sz w:val="22"/>
          <w:szCs w:val="22"/>
        </w:rPr>
        <w:fldChar w:fldCharType="separate"/>
      </w:r>
      <w:r w:rsidR="00A408CF" w:rsidRPr="00A408CF">
        <w:rPr>
          <w:rFonts w:ascii="Arial" w:hAnsi="Arial" w:cs="Arial"/>
          <w:noProof/>
          <w:color w:val="000000" w:themeColor="text1"/>
          <w:sz w:val="22"/>
          <w:szCs w:val="22"/>
        </w:rPr>
        <w:t>(34–37)</w:t>
      </w:r>
      <w:r w:rsidRPr="000D01FD">
        <w:rPr>
          <w:rFonts w:ascii="Arial" w:hAnsi="Arial" w:cs="Arial"/>
          <w:color w:val="000000" w:themeColor="text1"/>
          <w:sz w:val="22"/>
          <w:szCs w:val="22"/>
        </w:rPr>
        <w:fldChar w:fldCharType="end"/>
      </w:r>
      <w:r w:rsidRPr="000D01FD">
        <w:rPr>
          <w:rFonts w:ascii="Arial" w:hAnsi="Arial" w:cs="Arial"/>
          <w:color w:val="000000" w:themeColor="text1"/>
          <w:sz w:val="22"/>
          <w:szCs w:val="22"/>
        </w:rPr>
        <w:t xml:space="preserve">.  In brief, a single filled white matter volume was generated for each hemisphere after intensity normalization, skull stripping, and image segmentation using a connected components algorithm. Then, a surface tessellation was generated for each white matter volume by fitting a deformable template. This resulted in a triangular cortical mesh for gray and white matter surfaces consisting of approximately 150,000 vertices (i.e. points) per hemisphere. </w:t>
      </w:r>
      <w:r w:rsidRPr="000D01FD">
        <w:rPr>
          <w:rFonts w:ascii="Arial" w:hAnsi="Arial" w:cs="Arial"/>
          <w:color w:val="000000" w:themeColor="text1"/>
          <w:sz w:val="22"/>
          <w:szCs w:val="22"/>
          <w:lang w:val="en-GB"/>
        </w:rPr>
        <w:t>Following standard FreeSurfer pre-processing each reconstructed surface was then visually inspected for reconstruction errors.</w:t>
      </w:r>
    </w:p>
    <w:p w14:paraId="2E483B0A" w14:textId="6F8A9840" w:rsidR="00370760" w:rsidRPr="000D01FD" w:rsidRDefault="00370760" w:rsidP="00370760">
      <w:pPr>
        <w:spacing w:line="360" w:lineRule="auto"/>
        <w:ind w:firstLine="720"/>
        <w:rPr>
          <w:rFonts w:ascii="Arial" w:hAnsi="Arial" w:cs="Arial"/>
          <w:color w:val="000000" w:themeColor="text1"/>
          <w:sz w:val="22"/>
          <w:szCs w:val="22"/>
          <w:u w:val="single"/>
        </w:rPr>
      </w:pPr>
      <w:r w:rsidRPr="000D01FD">
        <w:rPr>
          <w:rFonts w:ascii="Arial" w:hAnsi="Arial" w:cs="Arial"/>
          <w:sz w:val="22"/>
          <w:szCs w:val="22"/>
          <w:lang w:val="en-GB"/>
        </w:rPr>
        <w:t xml:space="preserve">A spatially unbiased vertex-wise approach provides measures of CT, SA and CV at several thousand points, that is, vertices, across the cortical surface. </w:t>
      </w:r>
      <w:r w:rsidRPr="000D01FD">
        <w:rPr>
          <w:rFonts w:ascii="Arial" w:hAnsi="Arial" w:cs="Arial"/>
          <w:color w:val="000000" w:themeColor="text1"/>
          <w:sz w:val="22"/>
          <w:szCs w:val="22"/>
        </w:rPr>
        <w:t>Measures of cortical thickness (CT) were computed as the closest distance from the gray and white matter boundary to the gray matter and cerebrospinal fluid boundary at each vertex on the tessellated surface and vertex-based estimates of surface area (SA) were derived</w:t>
      </w:r>
      <w:r w:rsidRPr="000D01FD">
        <w:rPr>
          <w:rFonts w:ascii="Arial" w:hAnsi="Arial" w:cs="Arial"/>
          <w:color w:val="000000" w:themeColor="text1"/>
          <w:sz w:val="22"/>
          <w:szCs w:val="22"/>
        </w:rPr>
        <w:fldChar w:fldCharType="begin" w:fldLock="1"/>
      </w:r>
      <w:r w:rsidR="00404909">
        <w:rPr>
          <w:rFonts w:ascii="Arial" w:hAnsi="Arial" w:cs="Arial"/>
          <w:color w:val="000000" w:themeColor="text1"/>
          <w:sz w:val="22"/>
          <w:szCs w:val="22"/>
        </w:rPr>
        <w:instrText>ADDIN CSL_CITATION { "citationItems" : [ { "id" : "ITEM-1", "itemData" : { "DOI" : "10.1016/j.neuroimage.2012.03.026", "ISSN" : "1095-9572", "PMID" : "22446492", "abstract" : "Structural analysis of MRI data on the cortical surface usually focuses on cortical thickness. Cortical surface area, when considered, has been measured only over gross regions or approached indirectly via comparisons with a standard brain. Here we demonstrate that direct measurement and comparison of the surface area of the cerebral cortex at a fine scale is possible using mass conservative interpolation methods. We present a framework for analyses of the cortical surface area, as well as for any other measurement distributed across the cortex that is areal by nature. The method consists of the construction of a mesh representation of the cortex, registration to a common coordinate system and, crucially, interpolation using a pycnophylactic method. Statistical analysis of surface area is done with power-transformed data to address lognormality, and inference is done with permutation methods. We introduce the concept of facewise analysis, discuss its interpretation and potential applications.", "author" : [ { "dropping-particle" : "", "family" : "Winkler", "given" : "Anderson M", "non-dropping-particle" : "", "parse-names" : false, "suffix" : "" }, { "dropping-particle" : "", "family" : "Sabuncu", "given" : "Mert R", "non-dropping-particle" : "", "parse-names" : false, "suffix" : "" }, { "dropping-particle" : "", "family" : "Yeo", "given" : "B T Thomas", "non-dropping-particle" : "", "parse-names" : false, "suffix" : "" }, { "dropping-particle" : "", "family" : "Fischl", "given" : "Bruce", "non-dropping-particle" : "", "parse-names" : false, "suffix" : "" }, { "dropping-particle" : "", "family" : "Greve", "given" : "Douglas N", "non-dropping-particle" : "", "parse-names" : false, "suffix" : "" }, { "dropping-particle" : "", "family" : "Kochunov", "given" : "Peter", "non-dropping-particle" : "", "parse-names" : false, "suffix" : "" }, { "dropping-particle" : "", "family" : "Nichols", "given" : "Thomas E", "non-dropping-particle" : "", "parse-names" : false, "suffix" : "" }, { "dropping-particle" : "", "family" : "Blangero", "given" : "John", "non-dropping-particle" : "", "parse-names" : false, "suffix" : "" }, { "dropping-particle" : "", "family" : "Glahn", "given" : "David C", "non-dropping-particle" : "", "parse-names" : false, "suffix" : "" } ], "container-title" : "NeuroImage", "id" : "ITEM-1", "issue" : "4", "issued" : { "date-parts" : [ [ "2012", "7", "16" ] ] }, "page" : "1428-43", "title" : "Measuring and comparing brain cortical surface area and other areal quantities.", "type" : "article-journal", "volume" : "61" }, "uris" : [ "http://www.mendeley.com/documents/?uuid=4cdf1d3b-a365-4137-9ce3-f93433a5904a" ] } ], "mendeley" : { "formattedCitation" : "(38)", "plainTextFormattedCitation" : "(38)", "previouslyFormattedCitation" : "(38)" }, "properties" : { "noteIndex" : 0 }, "schema" : "https://github.com/citation-style-language/schema/raw/master/csl-citation.json" }</w:instrText>
      </w:r>
      <w:r w:rsidRPr="000D01FD">
        <w:rPr>
          <w:rFonts w:ascii="Arial" w:hAnsi="Arial" w:cs="Arial"/>
          <w:color w:val="000000" w:themeColor="text1"/>
          <w:sz w:val="22"/>
          <w:szCs w:val="22"/>
        </w:rPr>
        <w:fldChar w:fldCharType="separate"/>
      </w:r>
      <w:r w:rsidR="00A408CF" w:rsidRPr="00A408CF">
        <w:rPr>
          <w:rFonts w:ascii="Arial" w:hAnsi="Arial" w:cs="Arial"/>
          <w:noProof/>
          <w:color w:val="000000" w:themeColor="text1"/>
          <w:sz w:val="22"/>
          <w:szCs w:val="22"/>
        </w:rPr>
        <w:t>(38)</w:t>
      </w:r>
      <w:r w:rsidRPr="000D01FD">
        <w:rPr>
          <w:rFonts w:ascii="Arial" w:hAnsi="Arial" w:cs="Arial"/>
          <w:color w:val="000000" w:themeColor="text1"/>
          <w:sz w:val="22"/>
          <w:szCs w:val="22"/>
        </w:rPr>
        <w:fldChar w:fldCharType="end"/>
      </w:r>
      <w:r w:rsidRPr="000D01FD">
        <w:rPr>
          <w:rFonts w:ascii="Arial" w:hAnsi="Arial" w:cs="Arial"/>
          <w:color w:val="000000" w:themeColor="text1"/>
          <w:sz w:val="22"/>
          <w:szCs w:val="22"/>
        </w:rPr>
        <w:t xml:space="preserve">. </w:t>
      </w:r>
      <w:r w:rsidRPr="000D01FD">
        <w:rPr>
          <w:rFonts w:ascii="Arial" w:hAnsi="Arial" w:cs="Arial"/>
          <w:color w:val="000000" w:themeColor="text1"/>
          <w:sz w:val="22"/>
          <w:szCs w:val="22"/>
          <w:lang w:val="en-GB"/>
        </w:rPr>
        <w:t xml:space="preserve">Vertex-wise estimates of cortical volume (CV) were derived as the product of CT and SA at each cerebral vertex. </w:t>
      </w:r>
      <w:r w:rsidRPr="000D01FD">
        <w:rPr>
          <w:rFonts w:ascii="Arial" w:hAnsi="Arial" w:cs="Arial"/>
          <w:color w:val="000000" w:themeColor="text1"/>
          <w:sz w:val="22"/>
          <w:szCs w:val="22"/>
        </w:rPr>
        <w:t>We also computed mean CT, total SA and total CV (across hemispheres) for each participant. To improve the ability to detect population changes, each parameter was smoothed using a 13-mm surface-based smoothing kernel. Of note, this cortical surface reconstruction method does not include subcortical and (para)hippocampal regions.</w:t>
      </w:r>
    </w:p>
    <w:p w14:paraId="2CF531F4" w14:textId="77777777" w:rsidR="00A263E5" w:rsidRDefault="00A263E5" w:rsidP="00A263E5">
      <w:pPr>
        <w:spacing w:line="360" w:lineRule="auto"/>
        <w:rPr>
          <w:rFonts w:ascii="Arial" w:hAnsi="Arial" w:cs="Arial"/>
          <w:b/>
          <w:i/>
          <w:color w:val="000000" w:themeColor="text1"/>
          <w:sz w:val="22"/>
          <w:szCs w:val="22"/>
        </w:rPr>
      </w:pPr>
    </w:p>
    <w:p w14:paraId="558A30CF" w14:textId="52848714" w:rsidR="001B4566" w:rsidRPr="003F2D78" w:rsidRDefault="009C534F" w:rsidP="00A263E5">
      <w:pPr>
        <w:spacing w:line="360" w:lineRule="auto"/>
        <w:rPr>
          <w:rFonts w:ascii="Arial" w:hAnsi="Arial" w:cs="Arial"/>
          <w:b/>
          <w:i/>
          <w:color w:val="000000" w:themeColor="text1"/>
          <w:sz w:val="22"/>
          <w:szCs w:val="22"/>
        </w:rPr>
      </w:pPr>
      <w:r>
        <w:rPr>
          <w:rFonts w:ascii="Arial" w:hAnsi="Arial" w:cs="Arial"/>
          <w:b/>
          <w:i/>
          <w:color w:val="000000" w:themeColor="text1"/>
          <w:sz w:val="22"/>
          <w:szCs w:val="22"/>
        </w:rPr>
        <w:br w:type="column"/>
      </w:r>
      <w:r w:rsidR="001B4566" w:rsidRPr="003F2D78">
        <w:rPr>
          <w:rFonts w:ascii="Arial" w:hAnsi="Arial" w:cs="Arial"/>
          <w:b/>
          <w:i/>
          <w:color w:val="000000" w:themeColor="text1"/>
          <w:sz w:val="22"/>
          <w:szCs w:val="22"/>
        </w:rPr>
        <w:lastRenderedPageBreak/>
        <w:t>Statistical Analysis</w:t>
      </w:r>
    </w:p>
    <w:p w14:paraId="317F66DE" w14:textId="05CC0491" w:rsidR="001B4566" w:rsidRPr="00295F63" w:rsidRDefault="001B4566" w:rsidP="00A263E5">
      <w:pPr>
        <w:spacing w:line="360" w:lineRule="auto"/>
        <w:rPr>
          <w:rFonts w:ascii="Arial" w:hAnsi="Arial" w:cs="Arial"/>
          <w:color w:val="000000" w:themeColor="text1"/>
          <w:sz w:val="22"/>
          <w:szCs w:val="22"/>
        </w:rPr>
      </w:pPr>
      <w:r w:rsidRPr="00295F63">
        <w:rPr>
          <w:rFonts w:ascii="Arial" w:hAnsi="Arial" w:cs="Arial"/>
          <w:color w:val="000000" w:themeColor="text1"/>
          <w:sz w:val="22"/>
          <w:szCs w:val="22"/>
        </w:rPr>
        <w:t>We firstly examined between-group differences in global brain measures (i.e.</w:t>
      </w:r>
      <w:r w:rsidR="00CF2302">
        <w:rPr>
          <w:rFonts w:ascii="Arial" w:hAnsi="Arial" w:cs="Arial"/>
          <w:color w:val="000000" w:themeColor="text1"/>
          <w:sz w:val="22"/>
          <w:szCs w:val="22"/>
        </w:rPr>
        <w:t>,</w:t>
      </w:r>
      <w:r w:rsidRPr="00295F63">
        <w:rPr>
          <w:rFonts w:ascii="Arial" w:hAnsi="Arial" w:cs="Arial"/>
          <w:color w:val="000000" w:themeColor="text1"/>
          <w:sz w:val="22"/>
          <w:szCs w:val="22"/>
        </w:rPr>
        <w:t xml:space="preserve"> total grey and white matter volume, total surface area, and mean cortical thickness) using a multivariate general linear model (GLM) with diagnostic group and site as categorical fixed-effects factors, and age as continuous covariate (p&lt;0.05, two-tailed).</w:t>
      </w:r>
      <w:r w:rsidR="00E213B6" w:rsidRPr="00295F63">
        <w:rPr>
          <w:rFonts w:ascii="Arial" w:hAnsi="Arial" w:cs="Arial"/>
          <w:color w:val="000000" w:themeColor="text1"/>
          <w:sz w:val="22"/>
          <w:szCs w:val="22"/>
        </w:rPr>
        <w:t xml:space="preserve"> </w:t>
      </w:r>
      <w:r w:rsidRPr="00295F63">
        <w:rPr>
          <w:rFonts w:ascii="Arial" w:hAnsi="Arial" w:cs="Arial"/>
          <w:color w:val="000000" w:themeColor="text1"/>
          <w:sz w:val="22"/>
          <w:szCs w:val="22"/>
        </w:rPr>
        <w:t>To examine the relative contribution of differences in CT and SA to regional differences in CV, a vertex-wise statistical analysis was subsequently conducted using the SurfStat toolbox (http: //www.math.mcgill.ca/keith/surfstat/) for Matlab (R2014a; MathWorks). Parameter estimates for vertex-based measures of CT, SA and CV were estimated by</w:t>
      </w:r>
      <w:r w:rsidR="0011003B">
        <w:rPr>
          <w:rFonts w:ascii="Arial" w:hAnsi="Arial" w:cs="Arial"/>
          <w:color w:val="000000" w:themeColor="text1"/>
          <w:sz w:val="22"/>
          <w:szCs w:val="22"/>
        </w:rPr>
        <w:t xml:space="preserve"> performing a linear</w:t>
      </w:r>
      <w:r w:rsidRPr="00295F63">
        <w:rPr>
          <w:rFonts w:ascii="Arial" w:hAnsi="Arial" w:cs="Arial"/>
          <w:color w:val="000000" w:themeColor="text1"/>
          <w:sz w:val="22"/>
          <w:szCs w:val="22"/>
        </w:rPr>
        <w:t xml:space="preserve"> regression at each vertex </w:t>
      </w:r>
      <w:r w:rsidRPr="00295F63">
        <w:rPr>
          <w:rFonts w:ascii="Arial" w:hAnsi="Arial" w:cs="Arial"/>
          <w:i/>
          <w:color w:val="000000" w:themeColor="text1"/>
          <w:sz w:val="22"/>
          <w:szCs w:val="22"/>
        </w:rPr>
        <w:t>i</w:t>
      </w:r>
      <w:r w:rsidRPr="00295F63">
        <w:rPr>
          <w:rFonts w:ascii="Arial" w:hAnsi="Arial" w:cs="Arial"/>
          <w:color w:val="000000" w:themeColor="text1"/>
          <w:sz w:val="22"/>
          <w:szCs w:val="22"/>
        </w:rPr>
        <w:t xml:space="preserve"> and subject </w:t>
      </w:r>
      <w:r w:rsidRPr="00295F63">
        <w:rPr>
          <w:rFonts w:ascii="Arial" w:hAnsi="Arial" w:cs="Arial"/>
          <w:i/>
          <w:color w:val="000000" w:themeColor="text1"/>
          <w:sz w:val="22"/>
          <w:szCs w:val="22"/>
        </w:rPr>
        <w:t>j</w:t>
      </w:r>
      <w:r w:rsidRPr="00295F63">
        <w:rPr>
          <w:rFonts w:ascii="Arial" w:hAnsi="Arial" w:cs="Arial"/>
          <w:color w:val="000000" w:themeColor="text1"/>
          <w:sz w:val="22"/>
          <w:szCs w:val="22"/>
        </w:rPr>
        <w:t xml:space="preserve">, with (1) group and site as categorical fixed-effects factor; and (2) age as continuous covariates, so that </w:t>
      </w:r>
    </w:p>
    <w:p w14:paraId="7F9A1B2D" w14:textId="77777777" w:rsidR="001B4566" w:rsidRPr="00295F63" w:rsidRDefault="001B4566" w:rsidP="00A263E5">
      <w:pPr>
        <w:spacing w:line="360" w:lineRule="auto"/>
        <w:rPr>
          <w:rFonts w:ascii="Arial" w:hAnsi="Arial" w:cs="Arial"/>
          <w:i/>
          <w:color w:val="000000" w:themeColor="text1"/>
          <w:sz w:val="22"/>
          <w:szCs w:val="22"/>
        </w:rPr>
      </w:pPr>
      <w:r w:rsidRPr="00295F63">
        <w:rPr>
          <w:rFonts w:ascii="Arial" w:hAnsi="Arial" w:cs="Arial"/>
          <w:i/>
          <w:color w:val="000000" w:themeColor="text1"/>
          <w:sz w:val="22"/>
          <w:szCs w:val="22"/>
        </w:rPr>
        <w:t>Y</w:t>
      </w:r>
      <w:r w:rsidRPr="00295F63">
        <w:rPr>
          <w:rFonts w:ascii="Arial" w:hAnsi="Arial" w:cs="Arial"/>
          <w:i/>
          <w:color w:val="000000" w:themeColor="text1"/>
          <w:sz w:val="22"/>
          <w:szCs w:val="22"/>
          <w:vertAlign w:val="subscript"/>
        </w:rPr>
        <w:t>i</w:t>
      </w:r>
      <w:r w:rsidRPr="00295F63">
        <w:rPr>
          <w:rFonts w:ascii="Arial" w:hAnsi="Arial" w:cs="Arial"/>
          <w:i/>
          <w:color w:val="000000" w:themeColor="text1"/>
          <w:sz w:val="22"/>
          <w:szCs w:val="22"/>
        </w:rPr>
        <w:t xml:space="preserve"> = β</w:t>
      </w:r>
      <w:r w:rsidRPr="00295F63">
        <w:rPr>
          <w:rFonts w:ascii="Arial" w:hAnsi="Arial" w:cs="Arial"/>
          <w:i/>
          <w:color w:val="000000" w:themeColor="text1"/>
          <w:sz w:val="22"/>
          <w:szCs w:val="22"/>
          <w:vertAlign w:val="subscript"/>
        </w:rPr>
        <w:t>0</w:t>
      </w:r>
      <w:r w:rsidRPr="00295F63">
        <w:rPr>
          <w:rFonts w:ascii="Arial" w:hAnsi="Arial" w:cs="Arial"/>
          <w:i/>
          <w:color w:val="000000" w:themeColor="text1"/>
          <w:sz w:val="22"/>
          <w:szCs w:val="22"/>
        </w:rPr>
        <w:t xml:space="preserve"> +</w:t>
      </w:r>
      <w:r w:rsidRPr="00295F63">
        <w:rPr>
          <w:rFonts w:ascii="Arial" w:hAnsi="Arial" w:cs="Arial"/>
          <w:i/>
          <w:color w:val="000000" w:themeColor="text1"/>
          <w:sz w:val="22"/>
          <w:szCs w:val="22"/>
          <w:vertAlign w:val="subscript"/>
        </w:rPr>
        <w:t xml:space="preserve"> </w:t>
      </w:r>
      <w:r w:rsidRPr="00295F63">
        <w:rPr>
          <w:rFonts w:ascii="Arial" w:hAnsi="Arial" w:cs="Arial"/>
          <w:i/>
          <w:color w:val="000000" w:themeColor="text1"/>
          <w:sz w:val="22"/>
          <w:szCs w:val="22"/>
        </w:rPr>
        <w:t>β</w:t>
      </w:r>
      <w:r w:rsidRPr="00295F63">
        <w:rPr>
          <w:rFonts w:ascii="Arial" w:hAnsi="Arial" w:cs="Arial"/>
          <w:i/>
          <w:color w:val="000000" w:themeColor="text1"/>
          <w:sz w:val="22"/>
          <w:szCs w:val="22"/>
          <w:vertAlign w:val="subscript"/>
        </w:rPr>
        <w:t>1</w:t>
      </w:r>
      <w:r w:rsidRPr="00295F63">
        <w:rPr>
          <w:rFonts w:ascii="Arial" w:hAnsi="Arial" w:cs="Arial"/>
          <w:i/>
          <w:color w:val="000000" w:themeColor="text1"/>
          <w:sz w:val="22"/>
          <w:szCs w:val="22"/>
        </w:rPr>
        <w:t xml:space="preserve"> Group</w:t>
      </w:r>
      <w:r w:rsidRPr="00295F63">
        <w:rPr>
          <w:rFonts w:ascii="Arial" w:hAnsi="Arial" w:cs="Arial"/>
          <w:i/>
          <w:color w:val="000000" w:themeColor="text1"/>
          <w:sz w:val="22"/>
          <w:szCs w:val="22"/>
          <w:vertAlign w:val="subscript"/>
        </w:rPr>
        <w:t>j</w:t>
      </w:r>
      <w:r w:rsidRPr="00295F63">
        <w:rPr>
          <w:rFonts w:ascii="Arial" w:hAnsi="Arial" w:cs="Arial"/>
          <w:i/>
          <w:color w:val="000000" w:themeColor="text1"/>
          <w:sz w:val="22"/>
          <w:szCs w:val="22"/>
        </w:rPr>
        <w:t xml:space="preserve"> + β</w:t>
      </w:r>
      <w:r w:rsidRPr="00295F63">
        <w:rPr>
          <w:rFonts w:ascii="Arial" w:hAnsi="Arial" w:cs="Arial"/>
          <w:i/>
          <w:color w:val="000000" w:themeColor="text1"/>
          <w:sz w:val="22"/>
          <w:szCs w:val="22"/>
          <w:vertAlign w:val="subscript"/>
        </w:rPr>
        <w:t>2</w:t>
      </w:r>
      <w:r w:rsidRPr="00295F63">
        <w:rPr>
          <w:rFonts w:ascii="Arial" w:hAnsi="Arial" w:cs="Arial"/>
          <w:i/>
          <w:color w:val="000000" w:themeColor="text1"/>
          <w:sz w:val="22"/>
          <w:szCs w:val="22"/>
        </w:rPr>
        <w:t xml:space="preserve"> Site</w:t>
      </w:r>
      <w:r w:rsidRPr="00295F63">
        <w:rPr>
          <w:rFonts w:ascii="Arial" w:hAnsi="Arial" w:cs="Arial"/>
          <w:i/>
          <w:color w:val="000000" w:themeColor="text1"/>
          <w:sz w:val="22"/>
          <w:szCs w:val="22"/>
          <w:vertAlign w:val="subscript"/>
        </w:rPr>
        <w:t>j</w:t>
      </w:r>
      <w:r w:rsidRPr="00295F63">
        <w:rPr>
          <w:rFonts w:ascii="Arial" w:hAnsi="Arial" w:cs="Arial"/>
          <w:i/>
          <w:color w:val="000000" w:themeColor="text1"/>
          <w:sz w:val="22"/>
          <w:szCs w:val="22"/>
        </w:rPr>
        <w:t xml:space="preserve"> + β</w:t>
      </w:r>
      <w:r w:rsidRPr="00295F63">
        <w:rPr>
          <w:rFonts w:ascii="Arial" w:hAnsi="Arial" w:cs="Arial"/>
          <w:i/>
          <w:color w:val="000000" w:themeColor="text1"/>
          <w:sz w:val="22"/>
          <w:szCs w:val="22"/>
          <w:vertAlign w:val="subscript"/>
        </w:rPr>
        <w:t>3</w:t>
      </w:r>
      <w:r w:rsidRPr="00295F63">
        <w:rPr>
          <w:rFonts w:ascii="Arial" w:hAnsi="Arial" w:cs="Arial"/>
          <w:i/>
          <w:color w:val="000000" w:themeColor="text1"/>
          <w:sz w:val="22"/>
          <w:szCs w:val="22"/>
        </w:rPr>
        <w:t xml:space="preserve"> Age</w:t>
      </w:r>
      <w:r w:rsidRPr="00295F63">
        <w:rPr>
          <w:rFonts w:ascii="Arial" w:hAnsi="Arial" w:cs="Arial"/>
          <w:i/>
          <w:color w:val="000000" w:themeColor="text1"/>
          <w:sz w:val="22"/>
          <w:szCs w:val="22"/>
          <w:vertAlign w:val="subscript"/>
        </w:rPr>
        <w:t>j</w:t>
      </w:r>
      <w:r w:rsidRPr="00295F63">
        <w:rPr>
          <w:rFonts w:ascii="Arial" w:hAnsi="Arial" w:cs="Arial"/>
          <w:i/>
          <w:color w:val="000000" w:themeColor="text1"/>
          <w:sz w:val="22"/>
          <w:szCs w:val="22"/>
        </w:rPr>
        <w:t xml:space="preserve"> + ε</w:t>
      </w:r>
      <w:r w:rsidRPr="00295F63">
        <w:rPr>
          <w:rFonts w:ascii="Arial" w:hAnsi="Arial" w:cs="Arial"/>
          <w:i/>
          <w:color w:val="000000" w:themeColor="text1"/>
          <w:sz w:val="22"/>
          <w:szCs w:val="22"/>
          <w:vertAlign w:val="subscript"/>
        </w:rPr>
        <w:t>i</w:t>
      </w:r>
      <w:r w:rsidRPr="00295F63">
        <w:rPr>
          <w:rFonts w:ascii="Arial" w:hAnsi="Arial" w:cs="Arial"/>
          <w:i/>
          <w:color w:val="000000" w:themeColor="text1"/>
          <w:sz w:val="22"/>
          <w:szCs w:val="22"/>
        </w:rPr>
        <w:t>.</w:t>
      </w:r>
    </w:p>
    <w:p w14:paraId="561186F5" w14:textId="00CE8DBD" w:rsidR="001B4566" w:rsidRPr="00295F63" w:rsidRDefault="001B4566" w:rsidP="00A263E5">
      <w:pPr>
        <w:spacing w:line="360" w:lineRule="auto"/>
        <w:rPr>
          <w:rFonts w:ascii="Arial" w:hAnsi="Arial" w:cs="Arial"/>
          <w:color w:val="000000" w:themeColor="text1"/>
          <w:sz w:val="22"/>
          <w:szCs w:val="22"/>
        </w:rPr>
      </w:pPr>
      <w:r w:rsidRPr="00295F63">
        <w:rPr>
          <w:rFonts w:ascii="Arial" w:hAnsi="Arial" w:cs="Arial"/>
          <w:color w:val="000000" w:themeColor="text1"/>
          <w:sz w:val="22"/>
          <w:szCs w:val="22"/>
        </w:rPr>
        <w:t>Between-group differences were estimated from the fixed-effect coefficient β</w:t>
      </w:r>
      <w:r w:rsidRPr="00295F63">
        <w:rPr>
          <w:rFonts w:ascii="Arial" w:hAnsi="Arial" w:cs="Arial"/>
          <w:color w:val="000000" w:themeColor="text1"/>
          <w:sz w:val="22"/>
          <w:szCs w:val="22"/>
          <w:vertAlign w:val="subscript"/>
        </w:rPr>
        <w:t>1</w:t>
      </w:r>
      <w:r w:rsidRPr="00295F63">
        <w:rPr>
          <w:rFonts w:ascii="Arial" w:hAnsi="Arial" w:cs="Arial"/>
          <w:color w:val="000000" w:themeColor="text1"/>
          <w:sz w:val="22"/>
          <w:szCs w:val="22"/>
        </w:rPr>
        <w:t xml:space="preserve"> normalized by the</w:t>
      </w:r>
      <w:r w:rsidR="00695EC2" w:rsidRPr="00295F63">
        <w:rPr>
          <w:rFonts w:ascii="Arial" w:hAnsi="Arial" w:cs="Arial"/>
          <w:color w:val="000000" w:themeColor="text1"/>
          <w:sz w:val="22"/>
          <w:szCs w:val="22"/>
        </w:rPr>
        <w:t xml:space="preserve"> corresponding standard error. </w:t>
      </w:r>
      <w:r w:rsidRPr="00295F63">
        <w:rPr>
          <w:rFonts w:ascii="Arial" w:hAnsi="Arial" w:cs="Arial"/>
          <w:color w:val="000000" w:themeColor="text1"/>
          <w:sz w:val="22"/>
          <w:szCs w:val="22"/>
        </w:rPr>
        <w:t>Corrections for multiple comparisons across the whole brain were performed using random-field theory (RFT) based cluster-corrected analysis for non-isotropic images using a p&lt;</w:t>
      </w:r>
      <w:r w:rsidR="008D5F6C" w:rsidRPr="00295F63">
        <w:rPr>
          <w:rFonts w:ascii="Arial" w:hAnsi="Arial" w:cs="Arial"/>
          <w:color w:val="000000" w:themeColor="text1"/>
          <w:sz w:val="22"/>
          <w:szCs w:val="22"/>
        </w:rPr>
        <w:t>0</w:t>
      </w:r>
      <w:r w:rsidR="009E1096">
        <w:rPr>
          <w:rFonts w:ascii="Arial" w:hAnsi="Arial" w:cs="Arial"/>
          <w:color w:val="000000" w:themeColor="text1"/>
          <w:sz w:val="22"/>
          <w:szCs w:val="22"/>
        </w:rPr>
        <w:t>.05 (two</w:t>
      </w:r>
      <w:r w:rsidRPr="00295F63">
        <w:rPr>
          <w:rFonts w:ascii="Arial" w:hAnsi="Arial" w:cs="Arial"/>
          <w:color w:val="000000" w:themeColor="text1"/>
          <w:sz w:val="22"/>
          <w:szCs w:val="22"/>
        </w:rPr>
        <w:t>-tailed) cluster-significance threshold</w:t>
      </w:r>
      <w:r w:rsidR="00AE4371" w:rsidRPr="00295F63">
        <w:rPr>
          <w:rFonts w:ascii="Arial" w:hAnsi="Arial" w:cs="Arial"/>
          <w:color w:val="000000" w:themeColor="text1"/>
          <w:sz w:val="22"/>
          <w:szCs w:val="22"/>
        </w:rPr>
        <w:fldChar w:fldCharType="begin" w:fldLock="1"/>
      </w:r>
      <w:r w:rsidR="00404909">
        <w:rPr>
          <w:rFonts w:ascii="Arial" w:hAnsi="Arial" w:cs="Arial"/>
          <w:color w:val="000000" w:themeColor="text1"/>
          <w:sz w:val="22"/>
          <w:szCs w:val="22"/>
        </w:rPr>
        <w:instrText>ADDIN CSL_CITATION { "citationItems" : [ { "id" : "ITEM-1", "itemData" : { "ISSN" : "1065-9471", "PMID" : "10524599", "abstract" : "If the noise component of image data is nonisotropic, i.e., if it has nonconstant smoothness or effective point spread function, then theoretical results for the P value of local maxima and the size of suprathreshold clusters of a statistical parametric map (SPM) based on random field theory are not valid. This assumption is reasonable for PET or smoothed fMRI data, but not if these data are projected onto an unfolded, inflated, or flattened 2D cortical surface. Anatomical data such as structure masks, surface displacements, and deformation vectors are also highly nonisotropic. The solution offered here is to suppose that the image can be warped or flattened (in a statistical sense) into a space where the data are isotropic. The subsequent corrected P values do not depend on finding this warping; it is sufficient only to know that such a warping exists.", "author" : [ { "dropping-particle" : "", "family" : "Worsley", "given" : "K J", "non-dropping-particle" : "", "parse-names" : false, "suffix" : "" }, { "dropping-particle" : "", "family" : "Andermann", "given" : "M", "non-dropping-particle" : "", "parse-names" : false, "suffix" : "" }, { "dropping-particle" : "", "family" : "Koulis", "given" : "T", "non-dropping-particle" : "", "parse-names" : false, "suffix" : "" }, { "dropping-particle" : "", "family" : "MacDonald", "given" : "D", "non-dropping-particle" : "", "parse-names" : false, "suffix" : "" }, { "dropping-particle" : "", "family" : "Evans", "given" : "A C", "non-dropping-particle" : "", "parse-names" : false, "suffix" : "" } ], "container-title" : "Human brain mapping", "id" : "ITEM-1", "issue" : "2-3", "issued" : { "date-parts" : [ [ "1999", "1" ] ] }, "page" : "98-101", "title" : "Detecting changes in nonisotropic images.", "type" : "article-journal", "volume" : "8" }, "uris" : [ "http://www.mendeley.com/documents/?uuid=bbc28b4a-65aa-45e3-8edd-cd41a356c5d4" ] } ], "mendeley" : { "formattedCitation" : "(39)", "plainTextFormattedCitation" : "(39)", "previouslyFormattedCitation" : "(39)" }, "properties" : { "noteIndex" : 0 }, "schema" : "https://github.com/citation-style-language/schema/raw/master/csl-citation.json" }</w:instrText>
      </w:r>
      <w:r w:rsidR="00AE4371" w:rsidRPr="00295F63">
        <w:rPr>
          <w:rFonts w:ascii="Arial" w:hAnsi="Arial" w:cs="Arial"/>
          <w:color w:val="000000" w:themeColor="text1"/>
          <w:sz w:val="22"/>
          <w:szCs w:val="22"/>
        </w:rPr>
        <w:fldChar w:fldCharType="separate"/>
      </w:r>
      <w:r w:rsidR="00A408CF" w:rsidRPr="00A408CF">
        <w:rPr>
          <w:rFonts w:ascii="Arial" w:hAnsi="Arial" w:cs="Arial"/>
          <w:noProof/>
          <w:color w:val="000000" w:themeColor="text1"/>
          <w:sz w:val="22"/>
          <w:szCs w:val="22"/>
        </w:rPr>
        <w:t>(39)</w:t>
      </w:r>
      <w:r w:rsidR="00AE4371" w:rsidRPr="00295F63">
        <w:rPr>
          <w:rFonts w:ascii="Arial" w:hAnsi="Arial" w:cs="Arial"/>
          <w:color w:val="000000" w:themeColor="text1"/>
          <w:sz w:val="22"/>
          <w:szCs w:val="22"/>
        </w:rPr>
        <w:fldChar w:fldCharType="end"/>
      </w:r>
      <w:r w:rsidRPr="00295F63">
        <w:rPr>
          <w:rFonts w:ascii="Arial" w:hAnsi="Arial" w:cs="Arial"/>
          <w:color w:val="000000" w:themeColor="text1"/>
          <w:sz w:val="22"/>
          <w:szCs w:val="22"/>
        </w:rPr>
        <w:t>.</w:t>
      </w:r>
      <w:r w:rsidR="00EC53AA" w:rsidRPr="00295F63">
        <w:rPr>
          <w:rFonts w:ascii="Arial" w:hAnsi="Arial" w:cs="Arial"/>
          <w:color w:val="000000" w:themeColor="text1"/>
          <w:sz w:val="22"/>
          <w:szCs w:val="22"/>
        </w:rPr>
        <w:t xml:space="preserve"> </w:t>
      </w:r>
      <w:r w:rsidR="00686F52" w:rsidRPr="00295F63">
        <w:rPr>
          <w:rFonts w:ascii="Arial" w:hAnsi="Arial" w:cs="Arial"/>
          <w:color w:val="000000" w:themeColor="text1"/>
          <w:sz w:val="22"/>
          <w:szCs w:val="22"/>
        </w:rPr>
        <w:t>Between-group d</w:t>
      </w:r>
      <w:r w:rsidR="00EC53AA" w:rsidRPr="00295F63">
        <w:rPr>
          <w:rFonts w:ascii="Arial" w:hAnsi="Arial" w:cs="Arial"/>
          <w:color w:val="000000" w:themeColor="text1"/>
          <w:sz w:val="22"/>
          <w:szCs w:val="22"/>
        </w:rPr>
        <w:t xml:space="preserve">ifferences in global brain measures were examined using the same GLM as </w:t>
      </w:r>
      <w:r w:rsidR="005F15BB" w:rsidRPr="00295F63">
        <w:rPr>
          <w:rFonts w:ascii="Arial" w:hAnsi="Arial" w:cs="Arial"/>
          <w:color w:val="000000" w:themeColor="text1"/>
          <w:sz w:val="22"/>
          <w:szCs w:val="22"/>
        </w:rPr>
        <w:t>formalized</w:t>
      </w:r>
      <w:r w:rsidR="00EC53AA" w:rsidRPr="00295F63">
        <w:rPr>
          <w:rFonts w:ascii="Arial" w:hAnsi="Arial" w:cs="Arial"/>
          <w:color w:val="000000" w:themeColor="text1"/>
          <w:sz w:val="22"/>
          <w:szCs w:val="22"/>
        </w:rPr>
        <w:t xml:space="preserve"> above.</w:t>
      </w:r>
    </w:p>
    <w:p w14:paraId="79733759" w14:textId="77777777" w:rsidR="005C2E99" w:rsidRPr="007953AD" w:rsidRDefault="001B4566" w:rsidP="00A263E5">
      <w:pPr>
        <w:spacing w:line="360" w:lineRule="auto"/>
        <w:ind w:firstLine="720"/>
        <w:rPr>
          <w:rFonts w:ascii="Arial" w:hAnsi="Arial" w:cs="Arial"/>
          <w:color w:val="000000" w:themeColor="text1"/>
          <w:sz w:val="22"/>
          <w:szCs w:val="22"/>
        </w:rPr>
      </w:pPr>
      <w:r w:rsidRPr="00295F63">
        <w:rPr>
          <w:rFonts w:ascii="Arial" w:hAnsi="Arial" w:cs="Arial"/>
          <w:color w:val="000000" w:themeColor="text1"/>
          <w:sz w:val="22"/>
          <w:szCs w:val="22"/>
        </w:rPr>
        <w:t>To compare frequencies of unique or overlapping differences</w:t>
      </w:r>
      <w:r w:rsidR="00381C79" w:rsidRPr="00295F63">
        <w:rPr>
          <w:rFonts w:ascii="Arial" w:hAnsi="Arial" w:cs="Arial"/>
          <w:color w:val="000000" w:themeColor="text1"/>
          <w:sz w:val="22"/>
          <w:szCs w:val="22"/>
        </w:rPr>
        <w:t xml:space="preserve"> in each morphometric parameter</w:t>
      </w:r>
      <w:r w:rsidRPr="00295F63">
        <w:rPr>
          <w:rFonts w:ascii="Arial" w:hAnsi="Arial" w:cs="Arial"/>
          <w:color w:val="000000" w:themeColor="text1"/>
          <w:sz w:val="22"/>
          <w:szCs w:val="22"/>
        </w:rPr>
        <w:t xml:space="preserve"> the resulting spatially-distributed binary patterns of differences unique </w:t>
      </w:r>
      <w:r w:rsidR="00381C79" w:rsidRPr="00295F63">
        <w:rPr>
          <w:rFonts w:ascii="Arial" w:hAnsi="Arial" w:cs="Arial"/>
          <w:color w:val="000000" w:themeColor="text1"/>
          <w:sz w:val="22"/>
          <w:szCs w:val="22"/>
        </w:rPr>
        <w:t>to CT and/or SA,</w:t>
      </w:r>
      <w:r w:rsidRPr="00295F63">
        <w:rPr>
          <w:rFonts w:ascii="Arial" w:hAnsi="Arial" w:cs="Arial"/>
          <w:color w:val="000000" w:themeColor="text1"/>
          <w:sz w:val="22"/>
          <w:szCs w:val="22"/>
        </w:rPr>
        <w:t xml:space="preserve"> as well as their overlap regardless of the sign (i</w:t>
      </w:r>
      <w:r w:rsidR="008D5F6C" w:rsidRPr="00295F63">
        <w:rPr>
          <w:rFonts w:ascii="Arial" w:hAnsi="Arial" w:cs="Arial"/>
          <w:color w:val="000000" w:themeColor="text1"/>
          <w:sz w:val="22"/>
          <w:szCs w:val="22"/>
        </w:rPr>
        <w:t>.</w:t>
      </w:r>
      <w:r w:rsidRPr="00295F63">
        <w:rPr>
          <w:rFonts w:ascii="Arial" w:hAnsi="Arial" w:cs="Arial"/>
          <w:color w:val="000000" w:themeColor="text1"/>
          <w:sz w:val="22"/>
          <w:szCs w:val="22"/>
        </w:rPr>
        <w:t>e</w:t>
      </w:r>
      <w:r w:rsidR="008D5F6C" w:rsidRPr="00295F63">
        <w:rPr>
          <w:rFonts w:ascii="Arial" w:hAnsi="Arial" w:cs="Arial"/>
          <w:color w:val="000000" w:themeColor="text1"/>
          <w:sz w:val="22"/>
          <w:szCs w:val="22"/>
        </w:rPr>
        <w:t>.</w:t>
      </w:r>
      <w:r w:rsidRPr="00295F63">
        <w:rPr>
          <w:rFonts w:ascii="Arial" w:hAnsi="Arial" w:cs="Arial"/>
          <w:color w:val="000000" w:themeColor="text1"/>
          <w:sz w:val="22"/>
          <w:szCs w:val="22"/>
        </w:rPr>
        <w:t xml:space="preserve">, based </w:t>
      </w:r>
      <w:r w:rsidR="00381C79" w:rsidRPr="00295F63">
        <w:rPr>
          <w:rFonts w:ascii="Arial" w:hAnsi="Arial" w:cs="Arial"/>
          <w:color w:val="000000" w:themeColor="text1"/>
          <w:sz w:val="22"/>
          <w:szCs w:val="22"/>
        </w:rPr>
        <w:t>on their statistical threshold),</w:t>
      </w:r>
      <w:r w:rsidRPr="00295F63">
        <w:rPr>
          <w:rFonts w:ascii="Arial" w:hAnsi="Arial" w:cs="Arial"/>
          <w:color w:val="000000" w:themeColor="text1"/>
          <w:sz w:val="22"/>
          <w:szCs w:val="22"/>
        </w:rPr>
        <w:t xml:space="preserve"> were then compared using a χ</w:t>
      </w:r>
      <w:r w:rsidRPr="00295F63">
        <w:rPr>
          <w:rFonts w:ascii="Arial" w:hAnsi="Arial" w:cs="Arial"/>
          <w:color w:val="000000" w:themeColor="text1"/>
          <w:sz w:val="22"/>
          <w:szCs w:val="22"/>
          <w:vertAlign w:val="superscript"/>
        </w:rPr>
        <w:t>2</w:t>
      </w:r>
      <w:r w:rsidRPr="00295F63">
        <w:rPr>
          <w:rFonts w:ascii="Arial" w:hAnsi="Arial" w:cs="Arial"/>
          <w:color w:val="000000" w:themeColor="text1"/>
          <w:sz w:val="22"/>
          <w:szCs w:val="22"/>
        </w:rPr>
        <w:t xml:space="preserve"> test (i</w:t>
      </w:r>
      <w:r w:rsidR="00067602" w:rsidRPr="00295F63">
        <w:rPr>
          <w:rFonts w:ascii="Arial" w:hAnsi="Arial" w:cs="Arial"/>
          <w:color w:val="000000" w:themeColor="text1"/>
          <w:sz w:val="22"/>
          <w:szCs w:val="22"/>
        </w:rPr>
        <w:t>.</w:t>
      </w:r>
      <w:r w:rsidRPr="00295F63">
        <w:rPr>
          <w:rFonts w:ascii="Arial" w:hAnsi="Arial" w:cs="Arial"/>
          <w:color w:val="000000" w:themeColor="text1"/>
          <w:sz w:val="22"/>
          <w:szCs w:val="22"/>
        </w:rPr>
        <w:t>e</w:t>
      </w:r>
      <w:r w:rsidR="008D5F6C" w:rsidRPr="00295F63">
        <w:rPr>
          <w:rFonts w:ascii="Arial" w:hAnsi="Arial" w:cs="Arial"/>
          <w:color w:val="000000" w:themeColor="text1"/>
          <w:sz w:val="22"/>
          <w:szCs w:val="22"/>
        </w:rPr>
        <w:t>.</w:t>
      </w:r>
      <w:r w:rsidR="00381C79" w:rsidRPr="00295F63">
        <w:rPr>
          <w:rFonts w:ascii="Arial" w:hAnsi="Arial" w:cs="Arial"/>
          <w:color w:val="000000" w:themeColor="text1"/>
          <w:sz w:val="22"/>
          <w:szCs w:val="22"/>
        </w:rPr>
        <w:t>, contingency table)</w:t>
      </w:r>
      <w:r w:rsidRPr="00295F63">
        <w:rPr>
          <w:rFonts w:ascii="Arial" w:hAnsi="Arial" w:cs="Arial"/>
          <w:color w:val="000000" w:themeColor="text1"/>
          <w:sz w:val="22"/>
          <w:szCs w:val="22"/>
        </w:rPr>
        <w:t xml:space="preserve"> testing the null hypothesis that differences in CT and SA are equally distributed. Furthermore, a simulation strategy was used to assess whether the observed degree of overlap between differences in CT and SA is consistent with the idea of two s</w:t>
      </w:r>
      <w:r w:rsidR="00B85697" w:rsidRPr="00295F63">
        <w:rPr>
          <w:rFonts w:ascii="Arial" w:hAnsi="Arial" w:cs="Arial"/>
          <w:color w:val="000000" w:themeColor="text1"/>
          <w:sz w:val="22"/>
          <w:szCs w:val="22"/>
        </w:rPr>
        <w:t xml:space="preserve">patially independent patterns. </w:t>
      </w:r>
      <w:r w:rsidRPr="00295F63">
        <w:rPr>
          <w:rFonts w:ascii="Arial" w:hAnsi="Arial" w:cs="Arial"/>
          <w:color w:val="000000" w:themeColor="text1"/>
          <w:sz w:val="22"/>
          <w:szCs w:val="22"/>
        </w:rPr>
        <w:t>This hypothesis was tested on the basis of N=5000 randomly generated difference maps (i.e.</w:t>
      </w:r>
      <w:r w:rsidR="003547C0" w:rsidRPr="00295F63">
        <w:rPr>
          <w:rFonts w:ascii="Arial" w:hAnsi="Arial" w:cs="Arial"/>
          <w:color w:val="000000" w:themeColor="text1"/>
          <w:sz w:val="22"/>
          <w:szCs w:val="22"/>
        </w:rPr>
        <w:t>,</w:t>
      </w:r>
      <w:r w:rsidRPr="00295F63">
        <w:rPr>
          <w:rFonts w:ascii="Arial" w:hAnsi="Arial" w:cs="Arial"/>
          <w:color w:val="000000" w:themeColor="text1"/>
          <w:sz w:val="22"/>
          <w:szCs w:val="22"/>
        </w:rPr>
        <w:t xml:space="preserve"> maps containing random </w:t>
      </w:r>
      <w:r w:rsidRPr="00295F63">
        <w:rPr>
          <w:rFonts w:ascii="Arial" w:hAnsi="Arial" w:cs="Arial"/>
          <w:i/>
          <w:color w:val="000000" w:themeColor="text1"/>
          <w:sz w:val="22"/>
          <w:szCs w:val="22"/>
        </w:rPr>
        <w:t>t</w:t>
      </w:r>
      <w:r w:rsidRPr="00295F63">
        <w:rPr>
          <w:rFonts w:ascii="Arial" w:hAnsi="Arial" w:cs="Arial"/>
          <w:color w:val="000000" w:themeColor="text1"/>
          <w:sz w:val="22"/>
          <w:szCs w:val="22"/>
        </w:rPr>
        <w:t xml:space="preserve"> values, thresholded at p</w:t>
      </w:r>
      <w:r w:rsidR="004844F8" w:rsidRPr="00295F63">
        <w:rPr>
          <w:rFonts w:ascii="Arial" w:hAnsi="Arial" w:cs="Arial"/>
          <w:color w:val="000000" w:themeColor="text1"/>
          <w:sz w:val="22"/>
          <w:szCs w:val="22"/>
        </w:rPr>
        <w:t>&lt;0.05) for CT and SA. The extent</w:t>
      </w:r>
      <w:r w:rsidRPr="00295F63">
        <w:rPr>
          <w:rFonts w:ascii="Arial" w:hAnsi="Arial" w:cs="Arial"/>
          <w:color w:val="000000" w:themeColor="text1"/>
          <w:sz w:val="22"/>
          <w:szCs w:val="22"/>
        </w:rPr>
        <w:t xml:space="preserve"> of overlap </w:t>
      </w:r>
      <w:r w:rsidR="009E1096">
        <w:rPr>
          <w:rFonts w:ascii="Arial" w:hAnsi="Arial" w:cs="Arial"/>
          <w:color w:val="000000" w:themeColor="text1"/>
          <w:sz w:val="22"/>
          <w:szCs w:val="22"/>
        </w:rPr>
        <w:t xml:space="preserve">between groups </w:t>
      </w:r>
      <w:r w:rsidRPr="00295F63">
        <w:rPr>
          <w:rFonts w:ascii="Arial" w:hAnsi="Arial" w:cs="Arial"/>
          <w:color w:val="000000" w:themeColor="text1"/>
          <w:sz w:val="22"/>
          <w:szCs w:val="22"/>
        </w:rPr>
        <w:t>(i.e.</w:t>
      </w:r>
      <w:r w:rsidR="003547C0" w:rsidRPr="00295F63">
        <w:rPr>
          <w:rFonts w:ascii="Arial" w:hAnsi="Arial" w:cs="Arial"/>
          <w:color w:val="000000" w:themeColor="text1"/>
          <w:sz w:val="22"/>
          <w:szCs w:val="22"/>
        </w:rPr>
        <w:t>,</w:t>
      </w:r>
      <w:r w:rsidRPr="00295F63">
        <w:rPr>
          <w:rFonts w:ascii="Arial" w:hAnsi="Arial" w:cs="Arial"/>
          <w:color w:val="000000" w:themeColor="text1"/>
          <w:sz w:val="22"/>
          <w:szCs w:val="22"/>
        </w:rPr>
        <w:t xml:space="preserve"> number of vertices with differences in CT and SA) was then assessed in each of the 5000 overlapping patterns to derive a probability value of obtaining a given percentage of overlap on the </w:t>
      </w:r>
      <w:r w:rsidRPr="007953AD">
        <w:rPr>
          <w:rFonts w:ascii="Arial" w:hAnsi="Arial" w:cs="Arial"/>
          <w:color w:val="000000" w:themeColor="text1"/>
          <w:sz w:val="22"/>
          <w:szCs w:val="22"/>
        </w:rPr>
        <w:t>basis of randomly varying patterns of differences.</w:t>
      </w:r>
    </w:p>
    <w:p w14:paraId="541F4313" w14:textId="55C0C461" w:rsidR="005C2E99" w:rsidRPr="006C2612" w:rsidRDefault="005C2E99">
      <w:pPr>
        <w:spacing w:line="360" w:lineRule="auto"/>
        <w:rPr>
          <w:rFonts w:ascii="Arial" w:hAnsi="Arial" w:cs="Arial"/>
          <w:sz w:val="22"/>
          <w:szCs w:val="22"/>
        </w:rPr>
      </w:pPr>
    </w:p>
    <w:p w14:paraId="6CAE7EF8" w14:textId="413EEEF8" w:rsidR="006C2612" w:rsidRPr="008C3C74" w:rsidRDefault="006C2612" w:rsidP="008C3C74">
      <w:pPr>
        <w:spacing w:line="360" w:lineRule="auto"/>
        <w:rPr>
          <w:rFonts w:ascii="Arial" w:eastAsia="Verdana" w:hAnsi="Arial" w:cs="Arial"/>
          <w:b/>
          <w:bCs/>
          <w:i/>
          <w:color w:val="000000"/>
          <w:sz w:val="22"/>
          <w:szCs w:val="22"/>
        </w:rPr>
      </w:pPr>
      <w:r w:rsidRPr="008C3C74">
        <w:rPr>
          <w:rFonts w:ascii="Arial" w:hAnsi="Arial" w:cs="Arial"/>
          <w:b/>
          <w:i/>
          <w:sz w:val="22"/>
          <w:szCs w:val="22"/>
        </w:rPr>
        <w:t>The relationship between</w:t>
      </w:r>
      <w:r w:rsidR="00314BFE" w:rsidRPr="008C3C74">
        <w:rPr>
          <w:rFonts w:ascii="Arial" w:hAnsi="Arial" w:cs="Arial"/>
          <w:b/>
          <w:i/>
          <w:sz w:val="22"/>
          <w:szCs w:val="22"/>
        </w:rPr>
        <w:t xml:space="preserve"> </w:t>
      </w:r>
      <w:r w:rsidR="00972C30" w:rsidRPr="008C3C74">
        <w:rPr>
          <w:rFonts w:ascii="Arial" w:hAnsi="Arial" w:cs="Arial"/>
          <w:b/>
          <w:i/>
          <w:sz w:val="22"/>
          <w:szCs w:val="22"/>
        </w:rPr>
        <w:t>cortical thickness</w:t>
      </w:r>
      <w:r w:rsidR="00266779" w:rsidRPr="00450FDF">
        <w:rPr>
          <w:rFonts w:ascii="Arial" w:hAnsi="Arial" w:cs="Arial"/>
          <w:b/>
          <w:i/>
          <w:sz w:val="22"/>
          <w:szCs w:val="22"/>
        </w:rPr>
        <w:t>,</w:t>
      </w:r>
      <w:r w:rsidR="00314BFE" w:rsidRPr="008C3C74">
        <w:rPr>
          <w:rFonts w:ascii="Arial" w:hAnsi="Arial" w:cs="Arial"/>
          <w:b/>
          <w:i/>
          <w:sz w:val="22"/>
          <w:szCs w:val="22"/>
        </w:rPr>
        <w:t xml:space="preserve"> </w:t>
      </w:r>
      <w:r w:rsidR="00972C30" w:rsidRPr="008C3C74">
        <w:rPr>
          <w:rFonts w:ascii="Arial" w:hAnsi="Arial" w:cs="Arial"/>
          <w:b/>
          <w:i/>
          <w:sz w:val="22"/>
          <w:szCs w:val="22"/>
        </w:rPr>
        <w:t>surface area</w:t>
      </w:r>
      <w:r w:rsidR="00266779" w:rsidRPr="00450FDF">
        <w:rPr>
          <w:rFonts w:ascii="Arial" w:hAnsi="Arial" w:cs="Arial"/>
          <w:b/>
          <w:i/>
          <w:sz w:val="22"/>
          <w:szCs w:val="22"/>
        </w:rPr>
        <w:t xml:space="preserve"> and cortical volume</w:t>
      </w:r>
      <w:r w:rsidR="00314BFE" w:rsidRPr="008C3C74">
        <w:rPr>
          <w:rFonts w:ascii="Arial" w:hAnsi="Arial" w:cs="Arial"/>
          <w:b/>
          <w:i/>
          <w:sz w:val="22"/>
          <w:szCs w:val="22"/>
        </w:rPr>
        <w:t xml:space="preserve">, </w:t>
      </w:r>
      <w:r w:rsidR="00314BFE" w:rsidRPr="008C3C74">
        <w:rPr>
          <w:rFonts w:ascii="Arial" w:eastAsia="Verdana" w:hAnsi="Arial" w:cs="Arial"/>
          <w:b/>
          <w:bCs/>
          <w:i/>
          <w:color w:val="000000"/>
          <w:sz w:val="22"/>
          <w:szCs w:val="22"/>
        </w:rPr>
        <w:t>and</w:t>
      </w:r>
      <w:r w:rsidRPr="008C3C74">
        <w:rPr>
          <w:rFonts w:ascii="Arial" w:eastAsia="Verdana" w:hAnsi="Arial" w:cs="Arial"/>
          <w:b/>
          <w:bCs/>
          <w:i/>
          <w:color w:val="000000"/>
          <w:sz w:val="22"/>
          <w:szCs w:val="22"/>
        </w:rPr>
        <w:t xml:space="preserve"> </w:t>
      </w:r>
      <w:r w:rsidR="00B3043C" w:rsidRPr="00450FDF">
        <w:rPr>
          <w:rFonts w:ascii="Arial" w:hAnsi="Arial" w:cs="Arial"/>
          <w:b/>
          <w:i/>
          <w:sz w:val="22"/>
          <w:szCs w:val="22"/>
        </w:rPr>
        <w:t>dissociative symptoms</w:t>
      </w:r>
      <w:r w:rsidRPr="008C3C74">
        <w:rPr>
          <w:rFonts w:ascii="Arial" w:hAnsi="Arial" w:cs="Arial"/>
          <w:b/>
          <w:i/>
          <w:sz w:val="22"/>
          <w:szCs w:val="22"/>
        </w:rPr>
        <w:t xml:space="preserve"> </w:t>
      </w:r>
      <w:r w:rsidR="00314BFE" w:rsidRPr="008C3C74">
        <w:rPr>
          <w:rFonts w:ascii="Arial" w:hAnsi="Arial" w:cs="Arial"/>
          <w:b/>
          <w:i/>
          <w:sz w:val="22"/>
          <w:szCs w:val="22"/>
        </w:rPr>
        <w:t xml:space="preserve">and </w:t>
      </w:r>
      <w:r w:rsidR="00314BFE" w:rsidRPr="008C3C74">
        <w:rPr>
          <w:rFonts w:ascii="Arial" w:eastAsia="Verdana" w:hAnsi="Arial" w:cs="Arial"/>
          <w:b/>
          <w:bCs/>
          <w:i/>
          <w:color w:val="000000"/>
          <w:sz w:val="22"/>
          <w:szCs w:val="22"/>
        </w:rPr>
        <w:t>traumatization</w:t>
      </w:r>
    </w:p>
    <w:p w14:paraId="6A691DA9" w14:textId="0AC3E20B" w:rsidR="00B57895" w:rsidRPr="00450FDF" w:rsidRDefault="00430DA7">
      <w:pPr>
        <w:pStyle w:val="Geenafstand"/>
        <w:spacing w:line="360" w:lineRule="auto"/>
        <w:rPr>
          <w:rFonts w:ascii="Arial" w:hAnsi="Arial" w:cs="Arial"/>
          <w:color w:val="000000" w:themeColor="text1"/>
          <w:sz w:val="22"/>
          <w:szCs w:val="22"/>
        </w:rPr>
      </w:pPr>
      <w:r w:rsidRPr="008C3C74">
        <w:rPr>
          <w:rFonts w:ascii="Arial" w:eastAsia="Times New Roman" w:hAnsi="Arial" w:cs="Arial"/>
          <w:sz w:val="22"/>
          <w:szCs w:val="22"/>
        </w:rPr>
        <w:t xml:space="preserve">GLM analyses were performed to investigate </w:t>
      </w:r>
      <w:r w:rsidRPr="008C3C74">
        <w:rPr>
          <w:rFonts w:ascii="Arial" w:hAnsi="Arial" w:cs="Arial"/>
          <w:color w:val="000000" w:themeColor="text1"/>
          <w:sz w:val="22"/>
          <w:szCs w:val="22"/>
        </w:rPr>
        <w:t>associations between neuroanatomical features and composite clinical scores, that is</w:t>
      </w:r>
      <w:r w:rsidR="009C534F">
        <w:rPr>
          <w:rFonts w:ascii="Arial" w:hAnsi="Arial" w:cs="Arial"/>
          <w:color w:val="000000" w:themeColor="text1"/>
          <w:sz w:val="22"/>
          <w:szCs w:val="22"/>
        </w:rPr>
        <w:t>,</w:t>
      </w:r>
      <w:r w:rsidRPr="008C3C74">
        <w:rPr>
          <w:rFonts w:ascii="Arial" w:hAnsi="Arial" w:cs="Arial"/>
          <w:color w:val="000000" w:themeColor="text1"/>
          <w:sz w:val="22"/>
          <w:szCs w:val="22"/>
        </w:rPr>
        <w:t xml:space="preserve"> </w:t>
      </w:r>
      <w:r w:rsidRPr="008C3C74">
        <w:rPr>
          <w:rFonts w:ascii="Arial" w:hAnsi="Arial" w:cs="Arial"/>
          <w:sz w:val="22"/>
          <w:szCs w:val="22"/>
        </w:rPr>
        <w:t xml:space="preserve">dissociative symptoms and </w:t>
      </w:r>
      <w:r w:rsidRPr="008C3C74">
        <w:rPr>
          <w:rFonts w:ascii="Arial" w:eastAsia="Verdana" w:hAnsi="Arial" w:cs="Arial"/>
          <w:bCs/>
          <w:sz w:val="22"/>
          <w:szCs w:val="22"/>
        </w:rPr>
        <w:t>traumatization</w:t>
      </w:r>
      <w:r w:rsidR="00CB241C">
        <w:rPr>
          <w:rFonts w:ascii="Arial" w:eastAsia="Verdana" w:hAnsi="Arial" w:cs="Arial"/>
          <w:bCs/>
          <w:sz w:val="22"/>
          <w:szCs w:val="22"/>
        </w:rPr>
        <w:t>,</w:t>
      </w:r>
      <w:r w:rsidRPr="008C3C74">
        <w:rPr>
          <w:rFonts w:ascii="Arial" w:eastAsia="Verdana" w:hAnsi="Arial" w:cs="Arial"/>
          <w:bCs/>
          <w:sz w:val="22"/>
          <w:szCs w:val="22"/>
        </w:rPr>
        <w:t xml:space="preserve"> respectively.</w:t>
      </w:r>
      <w:r w:rsidR="00B57895" w:rsidRPr="00CB241C">
        <w:rPr>
          <w:rFonts w:ascii="Arial" w:hAnsi="Arial" w:cs="Arial"/>
          <w:color w:val="000000" w:themeColor="text1"/>
          <w:sz w:val="22"/>
          <w:szCs w:val="22"/>
        </w:rPr>
        <w:t xml:space="preserve"> </w:t>
      </w:r>
      <w:r w:rsidR="00255DCC" w:rsidRPr="00CB241C">
        <w:rPr>
          <w:rFonts w:ascii="Arial" w:hAnsi="Arial" w:cs="Arial"/>
          <w:color w:val="000000" w:themeColor="text1"/>
          <w:sz w:val="22"/>
          <w:szCs w:val="22"/>
        </w:rPr>
        <w:t>Correc</w:t>
      </w:r>
      <w:r w:rsidR="00255DCC" w:rsidRPr="00450FDF">
        <w:rPr>
          <w:rFonts w:ascii="Arial" w:hAnsi="Arial" w:cs="Arial"/>
          <w:color w:val="000000" w:themeColor="text1"/>
          <w:sz w:val="22"/>
          <w:szCs w:val="22"/>
        </w:rPr>
        <w:t xml:space="preserve">tions for multiple comparisons across the whole brain were performed using random-field theory (RFT) based cluster-corrected analysis for non-isotropic images </w:t>
      </w:r>
      <w:r w:rsidR="00255DCC" w:rsidRPr="00450FDF">
        <w:rPr>
          <w:rFonts w:ascii="Arial" w:hAnsi="Arial" w:cs="Arial"/>
          <w:color w:val="000000" w:themeColor="text1"/>
          <w:sz w:val="22"/>
          <w:szCs w:val="22"/>
        </w:rPr>
        <w:lastRenderedPageBreak/>
        <w:t>using a p&lt;0.05 (2-tailed) cluster-significance threshold</w:t>
      </w:r>
      <w:r w:rsidR="00B57895" w:rsidRPr="00450FDF">
        <w:rPr>
          <w:rFonts w:ascii="Arial" w:hAnsi="Arial" w:cs="Arial"/>
          <w:color w:val="000000" w:themeColor="text1"/>
          <w:sz w:val="22"/>
          <w:szCs w:val="22"/>
        </w:rPr>
        <w:fldChar w:fldCharType="begin" w:fldLock="1"/>
      </w:r>
      <w:r w:rsidR="00432ECE">
        <w:rPr>
          <w:rFonts w:ascii="Arial" w:hAnsi="Arial" w:cs="Arial"/>
          <w:color w:val="000000" w:themeColor="text1"/>
          <w:sz w:val="22"/>
          <w:szCs w:val="22"/>
        </w:rPr>
        <w:instrText>ADDIN CSL_CITATION { "citationItems" : [ { "id" : "ITEM-1", "itemData" : { "ISSN" : "1065-9471", "PMID" : "10524599", "abstract" : "If the noise component of image data is nonisotropic, i.e., if it has nonconstant smoothness or effective point spread function, then theoretical results for the P value of local maxima and the size of suprathreshold clusters of a statistical parametric map (SPM) based on random field theory are not valid. This assumption is reasonable for PET or smoothed fMRI data, but not if these data are projected onto an unfolded, inflated, or flattened 2D cortical surface. Anatomical data such as structure masks, surface displacements, and deformation vectors are also highly nonisotropic. The solution offered here is to suppose that the image can be warped or flattened (in a statistical sense) into a space where the data are isotropic. The subsequent corrected P values do not depend on finding this warping; it is sufficient only to know that such a warping exists.", "author" : [ { "dropping-particle" : "", "family" : "Worsley", "given" : "K J", "non-dropping-particle" : "", "parse-names" : false, "suffix" : "" }, { "dropping-particle" : "", "family" : "Andermann", "given" : "M", "non-dropping-particle" : "", "parse-names" : false, "suffix" : "" }, { "dropping-particle" : "", "family" : "Koulis", "given" : "T", "non-dropping-particle" : "", "parse-names" : false, "suffix" : "" }, { "dropping-particle" : "", "family" : "MacDonald", "given" : "D", "non-dropping-particle" : "", "parse-names" : false, "suffix" : "" }, { "dropping-particle" : "", "family" : "Evans", "given" : "A C", "non-dropping-particle" : "", "parse-names" : false, "suffix" : "" } ], "container-title" : "Human brain mapping", "id" : "ITEM-1", "issue" : "2-3", "issued" : { "date-parts" : [ [ "1999", "1" ] ] }, "page" : "98-101", "title" : "Detecting changes in nonisotropic images.", "type" : "article-journal", "volume" : "8" }, "uris" : [ "http://www.mendeley.com/documents/?uuid=bbc28b4a-65aa-45e3-8edd-cd41a356c5d4" ] } ], "mendeley" : { "formattedCitation" : "(39)", "plainTextFormattedCitation" : "(39)", "previouslyFormattedCitation" : "(39)" }, "properties" : { "noteIndex" : 0 }, "schema" : "https://github.com/citation-style-language/schema/raw/master/csl-citation.json" }</w:instrText>
      </w:r>
      <w:r w:rsidR="00B57895" w:rsidRPr="00450FDF">
        <w:rPr>
          <w:rFonts w:ascii="Arial" w:hAnsi="Arial" w:cs="Arial"/>
          <w:color w:val="000000" w:themeColor="text1"/>
          <w:sz w:val="22"/>
          <w:szCs w:val="22"/>
        </w:rPr>
        <w:fldChar w:fldCharType="separate"/>
      </w:r>
      <w:r w:rsidR="00B57895" w:rsidRPr="00450FDF">
        <w:rPr>
          <w:rFonts w:ascii="Arial" w:hAnsi="Arial" w:cs="Arial"/>
          <w:noProof/>
          <w:color w:val="000000" w:themeColor="text1"/>
          <w:sz w:val="22"/>
          <w:szCs w:val="22"/>
        </w:rPr>
        <w:t>(39)</w:t>
      </w:r>
      <w:r w:rsidR="00B57895" w:rsidRPr="00450FDF">
        <w:rPr>
          <w:rFonts w:ascii="Arial" w:hAnsi="Arial" w:cs="Arial"/>
          <w:color w:val="000000" w:themeColor="text1"/>
          <w:sz w:val="22"/>
          <w:szCs w:val="22"/>
        </w:rPr>
        <w:fldChar w:fldCharType="end"/>
      </w:r>
      <w:r w:rsidR="00255DCC" w:rsidRPr="00450FDF">
        <w:rPr>
          <w:rFonts w:ascii="Arial" w:hAnsi="Arial" w:cs="Arial"/>
          <w:color w:val="000000" w:themeColor="text1"/>
          <w:sz w:val="22"/>
          <w:szCs w:val="22"/>
        </w:rPr>
        <w:t>.</w:t>
      </w:r>
      <w:r w:rsidR="00B57895" w:rsidRPr="00450FDF">
        <w:rPr>
          <w:rFonts w:ascii="Arial" w:hAnsi="Arial" w:cs="Arial"/>
          <w:color w:val="000000" w:themeColor="text1"/>
          <w:sz w:val="22"/>
          <w:szCs w:val="22"/>
        </w:rPr>
        <w:t xml:space="preserve"> </w:t>
      </w:r>
      <w:r w:rsidR="009A640D" w:rsidRPr="00450FDF">
        <w:rPr>
          <w:rFonts w:ascii="Arial" w:hAnsi="Arial" w:cs="Arial"/>
          <w:color w:val="000000" w:themeColor="text1"/>
          <w:sz w:val="22"/>
          <w:szCs w:val="22"/>
        </w:rPr>
        <w:t xml:space="preserve">Correlations between neuroanatomical features and measures of dissociative symptom severity (see </w:t>
      </w:r>
      <w:r w:rsidR="009A640D" w:rsidRPr="00450FDF">
        <w:rPr>
          <w:rFonts w:ascii="Arial" w:hAnsi="Arial" w:cs="Arial"/>
          <w:sz w:val="22"/>
          <w:szCs w:val="22"/>
        </w:rPr>
        <w:t xml:space="preserve">Table 1) </w:t>
      </w:r>
      <w:r w:rsidR="009A640D" w:rsidRPr="00450FDF">
        <w:rPr>
          <w:rFonts w:ascii="Arial" w:hAnsi="Arial" w:cs="Arial"/>
          <w:color w:val="000000" w:themeColor="text1"/>
          <w:sz w:val="22"/>
          <w:szCs w:val="22"/>
        </w:rPr>
        <w:t xml:space="preserve">were explored </w:t>
      </w:r>
      <w:r w:rsidR="009A640D" w:rsidRPr="00CB241C">
        <w:rPr>
          <w:rFonts w:ascii="Arial" w:hAnsi="Arial" w:cs="Arial"/>
          <w:color w:val="000000" w:themeColor="text1"/>
          <w:sz w:val="22"/>
          <w:szCs w:val="22"/>
        </w:rPr>
        <w:t xml:space="preserve">using </w:t>
      </w:r>
      <w:r w:rsidR="00CB241C" w:rsidRPr="008C3C74">
        <w:rPr>
          <w:rFonts w:ascii="Arial" w:hAnsi="Arial" w:cs="Arial"/>
          <w:color w:val="000000" w:themeColor="text1"/>
          <w:sz w:val="22"/>
          <w:szCs w:val="22"/>
        </w:rPr>
        <w:t>composite clinical dissociation scores</w:t>
      </w:r>
      <w:r w:rsidR="009A640D" w:rsidRPr="00CB241C">
        <w:rPr>
          <w:rFonts w:ascii="Arial" w:hAnsi="Arial" w:cs="Arial"/>
          <w:color w:val="000000" w:themeColor="text1"/>
          <w:sz w:val="22"/>
          <w:szCs w:val="22"/>
        </w:rPr>
        <w:t xml:space="preserve"> because</w:t>
      </w:r>
      <w:r w:rsidR="009A640D" w:rsidRPr="00450FDF">
        <w:rPr>
          <w:rFonts w:ascii="Arial" w:hAnsi="Arial" w:cs="Arial"/>
          <w:color w:val="000000" w:themeColor="text1"/>
          <w:sz w:val="22"/>
          <w:szCs w:val="22"/>
        </w:rPr>
        <w:t xml:space="preserve"> the three questionnaires are closely related. To this end, the SDQ-20, DES and CDS scor</w:t>
      </w:r>
      <w:r w:rsidR="00426352">
        <w:rPr>
          <w:rFonts w:ascii="Arial" w:hAnsi="Arial" w:cs="Arial"/>
          <w:color w:val="000000" w:themeColor="text1"/>
          <w:sz w:val="22"/>
          <w:szCs w:val="22"/>
        </w:rPr>
        <w:t xml:space="preserve">es were subjected to </w:t>
      </w:r>
      <w:r w:rsidR="00426352" w:rsidRPr="00426352">
        <w:rPr>
          <w:rFonts w:ascii="Arial" w:hAnsi="Arial" w:cs="Arial"/>
          <w:color w:val="000000" w:themeColor="text1"/>
          <w:sz w:val="22"/>
          <w:szCs w:val="22"/>
        </w:rPr>
        <w:t xml:space="preserve">a </w:t>
      </w:r>
      <w:r w:rsidR="00426352" w:rsidRPr="008C3C74">
        <w:rPr>
          <w:rFonts w:ascii="Arial" w:hAnsi="Arial" w:cs="Arial"/>
          <w:color w:val="000000" w:themeColor="text1"/>
          <w:sz w:val="22"/>
          <w:szCs w:val="22"/>
        </w:rPr>
        <w:t>principal</w:t>
      </w:r>
      <w:r w:rsidR="009A640D" w:rsidRPr="00426352">
        <w:rPr>
          <w:rFonts w:ascii="Arial" w:hAnsi="Arial" w:cs="Arial"/>
          <w:color w:val="000000" w:themeColor="text1"/>
          <w:sz w:val="22"/>
          <w:szCs w:val="22"/>
        </w:rPr>
        <w:t xml:space="preserve"> component</w:t>
      </w:r>
      <w:r w:rsidR="009A640D" w:rsidRPr="00450FDF">
        <w:rPr>
          <w:rFonts w:ascii="Arial" w:hAnsi="Arial" w:cs="Arial"/>
          <w:color w:val="000000" w:themeColor="text1"/>
          <w:sz w:val="22"/>
          <w:szCs w:val="22"/>
        </w:rPr>
        <w:t xml:space="preserve"> analysis (PCA)</w:t>
      </w:r>
      <w:r w:rsidR="00404909" w:rsidRPr="00450FDF">
        <w:rPr>
          <w:rFonts w:ascii="Arial" w:hAnsi="Arial" w:cs="Arial"/>
          <w:color w:val="000000" w:themeColor="text1"/>
          <w:sz w:val="22"/>
          <w:szCs w:val="22"/>
        </w:rPr>
        <w:fldChar w:fldCharType="begin" w:fldLock="1"/>
      </w:r>
      <w:r w:rsidR="00404909" w:rsidRPr="00450FDF">
        <w:rPr>
          <w:rFonts w:ascii="Arial" w:hAnsi="Arial" w:cs="Arial"/>
          <w:color w:val="000000" w:themeColor="text1"/>
          <w:sz w:val="22"/>
          <w:szCs w:val="22"/>
        </w:rPr>
        <w:instrText>ADDIN CSL_CITATION { "citationItems" : [ { "id" : "ITEM-1", "itemData" : { "DOI" : "10.1016/j.pscychresns.2015.01.014", "ISSN" : "1872-7123", "PMID" : "25670646", "abstract" : "Neuroanatomical evidence on the relationship between posttraumatic stress disorder (PTSD) and dissociative disorders is still lacking. We acquired brain structural magnetic resonance imaging (MRI) scans from 17 patients with dissociative identity disorder (DID) and co-morbid PTSD (DID-PTSD) and 16 patients with PTSD but without DID (PTSD-only), and 32 healthy controls (HC), and compared their whole-brain cortical and subcortical gray matter (GM) morphological measurements. Associations between GM measurements and severity of dissociative and depersonalization/derealization symptoms or lifetime traumatizing events were evaluated in the patient groups. DID-PTSD and PTSD-only patients, compared with HC, had similarly smaller cortical GM volumes of the whole brain and of frontal, temporal and insular cortices. DID-PTSD patients additionally showed smaller hippocampal and larger pallidum volumes relative to HC, and larger putamen and pallidum volumes relative to PTSD-only. Severity of lifetime traumatizing events and volume of the hippocampus were negatively correlated. Severity of dissociative and depersonalization/derealization symptoms correlated positively with volume of the putamen and pallidum, and negatively with volume of the inferior parietal cortex. Shared abnormal brain structures in DID-PTSD and PTSD-only, small hippocampal volume in DID-PTSD, more severe lifetime traumatizing events in DID-PTSD compared with PTSD-only, and negative correlations between lifetime traumatizing events and hippocampal volume suggest a trauma-related etiology for DID. Our results provide neurobiological evidence for the side-by-side nosological classification of PTSD and DID in the DSM-5.", "author" : [ { "dropping-particle" : "", "family" : "Chalavi", "given" : "Sima", "non-dropping-particle" : "", "parse-names" : false, "suffix" : "" }, { "dropping-particle" : "", "family" : "Vissia", "given" : "Eline M", "non-dropping-particle" : "", "parse-names" : false, "suffix" : "" }, { "dropping-particle" : "", "family" : "Giesen", "given" : "Mechteld E", "non-dropping-particle" : "", "parse-names" : false, "suffix" : "" }, { "dropping-particle" : "", "family" : "Nijenhuis", "given" : "Ellert R S", "non-dropping-particle" : "", "parse-names" : false, "suffix" : "" }, { "dropping-particle" : "", "family" : "Draijer", "given" : "Nel", "non-dropping-particle" : "", "parse-names" : false, "suffix" : "" }, { "dropping-particle" : "", "family" : "Barker", "given" : "Gareth J", "non-dropping-particle" : "", "parse-names" : false, "suffix" : "" }, { "dropping-particle" : "", "family" : "Veltman", "given" : "Dick J", "non-dropping-particle" : "", "parse-names" : false, "suffix" : "" }, { "dropping-particle" : "", "family" : "Reinders", "given" : "Antje A T S", "non-dropping-particle" : "", "parse-names" : false, "suffix" : "" } ], "container-title" : "Psychiatry research", "id" : "ITEM-1", "issue" : "3", "issued" : { "date-parts" : [ [ "2015", "3", "30" ] ] }, "page" : "308-19", "title" : "Similar cortical but not subcortical gray matter abnormalities in women with posttraumatic stress disorder with versus without dissociative identity disorder.", "type" : "article-journal", "volume" : "231" }, "uris" : [ "http://www.mendeley.com/documents/?uuid=c274a8e7-d6e5-4d5f-8f0d-760c4923a452" ] } ], "mendeley" : { "formattedCitation" : "(4)", "plainTextFormattedCitation" : "(4)", "previouslyFormattedCitation" : "(4)" }, "properties" : { "noteIndex" : 0 }, "schema" : "https://github.com/citation-style-language/schema/raw/master/csl-citation.json" }</w:instrText>
      </w:r>
      <w:r w:rsidR="00404909" w:rsidRPr="00450FDF">
        <w:rPr>
          <w:rFonts w:ascii="Arial" w:hAnsi="Arial" w:cs="Arial"/>
          <w:color w:val="000000" w:themeColor="text1"/>
          <w:sz w:val="22"/>
          <w:szCs w:val="22"/>
        </w:rPr>
        <w:fldChar w:fldCharType="separate"/>
      </w:r>
      <w:r w:rsidR="00404909" w:rsidRPr="00450FDF">
        <w:rPr>
          <w:rFonts w:ascii="Arial" w:hAnsi="Arial" w:cs="Arial"/>
          <w:noProof/>
          <w:color w:val="000000" w:themeColor="text1"/>
          <w:sz w:val="22"/>
          <w:szCs w:val="22"/>
        </w:rPr>
        <w:t>(4)</w:t>
      </w:r>
      <w:r w:rsidR="00404909" w:rsidRPr="00450FDF">
        <w:rPr>
          <w:rFonts w:ascii="Arial" w:hAnsi="Arial" w:cs="Arial"/>
          <w:color w:val="000000" w:themeColor="text1"/>
          <w:sz w:val="22"/>
          <w:szCs w:val="22"/>
        </w:rPr>
        <w:fldChar w:fldCharType="end"/>
      </w:r>
      <w:r w:rsidR="009A640D" w:rsidRPr="00450FDF">
        <w:rPr>
          <w:rFonts w:ascii="Arial" w:hAnsi="Arial" w:cs="Arial"/>
          <w:color w:val="000000" w:themeColor="text1"/>
          <w:sz w:val="22"/>
          <w:szCs w:val="22"/>
        </w:rPr>
        <w:t xml:space="preserve"> and an eigenvalue of 1 was used as the cut-off</w:t>
      </w:r>
      <w:r w:rsidR="00404909" w:rsidRPr="00450FDF">
        <w:rPr>
          <w:rFonts w:ascii="Arial" w:hAnsi="Arial" w:cs="Arial"/>
          <w:color w:val="000000" w:themeColor="text1"/>
          <w:sz w:val="22"/>
          <w:szCs w:val="22"/>
        </w:rPr>
        <w:fldChar w:fldCharType="begin" w:fldLock="1"/>
      </w:r>
      <w:r w:rsidR="004125B9" w:rsidRPr="00450FDF">
        <w:rPr>
          <w:rFonts w:ascii="Arial" w:hAnsi="Arial" w:cs="Arial"/>
          <w:color w:val="000000" w:themeColor="text1"/>
          <w:sz w:val="22"/>
          <w:szCs w:val="22"/>
        </w:rPr>
        <w:instrText>ADDIN CSL_CITATION { "citationItems" : [ { "id" : "ITEM-1", "itemData" : { "ISSN" : "1053-8119", "PMID" : "14683715", "abstract" : "Having a sense of self is an explicit and high-level functional specialization of the human brain. The anatomical localization of self-awareness and the brain mechanisms involved in consciousness were investigated by functional neuroimaging different emotional mental states of core consciousness in patients with Multiple Personality Disorder (i.e., Dissociative Identity Disorder (DID)). We demonstrate specific changes in localized brain activity consistent with their ability to generate at least two distinct mental states of self-awareness, each with its own access to autobiographical trauma-related memory. Our findings reveal the existence of different regional cerebral blood flow patterns for different senses of self. We present evidence for the medial prefrontal cortex (MPFC) and the posterior associative cortices to have an integral role in conscious experience.", "author" : [ { "dropping-particle" : "", "family" : "Reinders", "given" : "A A T S", "non-dropping-particle" : "", "parse-names" : false, "suffix" : "" }, { "dropping-particle" : "", "family" : "Nijenhuis", "given" : "E R S", "non-dropping-particle" : "", "parse-names" : false, "suffix" : "" }, { "dropping-particle" : "", "family" : "Paans", "given" : "A M J", "non-dropping-particle" : "", "parse-names" : false, "suffix" : "" }, { "dropping-particle" : "", "family" : "Korf", "given" : "J", "non-dropping-particle" : "", "parse-names" : false, "suffix" : "" }, { "dropping-particle" : "", "family" : "Willemsen", "given" : "A T M", "non-dropping-particle" : "", "parse-names" : false, "suffix" : "" }, { "dropping-particle" : "", "family" : "Boer", "given" : "J A", "non-dropping-particle" : "den", "parse-names" : false, "suffix" : "" } ], "container-title" : "NeuroImage", "id" : "ITEM-1", "issue" : "4", "issued" : { "date-parts" : [ [ "2003", "12" ] ] }, "page" : "2119-25", "title" : "One brain, two selves.", "type" : "article-journal", "volume" : "20" }, "uris" : [ "http://www.mendeley.com/documents/?uuid=938ff0fe-6c9e-43f4-93f3-a109b99b779a" ] }, { "id" : "ITEM-2", "itemData" : { "DOI" : "10.1016/j.biopsych.2005.12.019", "ISSN" : "0006-3223", "PMID" : "17008145", "abstract" : "BACKGROUND: Dissociative identity disorder (DID) patients function as two or more identities or dissociative identity states (DIS), categorized as 'neutral identity states' (NIS) and 'traumatic identity states' (TIS). NIS inhibit access to traumatic memories thereby enabling daily life functioning. TIS have access and responses to these memories. We tested whether these DIS show different psychobiological reactions to trauma-related memory. METHODS: A symptom provocation paradigm with 11 DID patients was used in a two-by-two factorial design setting. Both NIS and TIS were exposed to a neutral and a trauma-related memory script. Three psychobiological parameters were tested: subjective ratings (emotional and sensori-motor), cardiovascular responses (heart rate, blood pressure, heart rate variability) and regional cerebral blood flow as determined with H(2)(15)O positron emission tomography. RESULTS: Psychobiological differences were found for the different DIS. Subjective and cardiovascular reactions revealed significant main and interactions effects. Regional cerebral blood flow data revealed different neural networks to be associated with different processing of the neutral and trauma-related memory script by NIS and TIS. CONCLUSIONS: Patients with DID encompass at least two different DIS. These identities involve different subjective reactions, cardiovascular responses and cerebral activation patterns to a trauma-related memory script.", "author" : [ { "dropping-particle" : "", "family" : "Reinders", "given" : "Antje A T S", "non-dropping-particle" : "", "parse-names" : false, "suffix" : "" }, { "dropping-particle" : "", "family" : "Nijenhuis", "given" : "Ellert R S", "non-dropping-particle" : "", "parse-names" : false, "suffix" : "" }, { "dropping-particle" : "", "family" : "Quak", "given" : "Jacqueline", "non-dropping-particle" : "", "parse-names" : false, "suffix" : "" }, { "dropping-particle" : "", "family" : "Korf", "given" : "Jakob", "non-dropping-particle" : "", "parse-names" : false, "suffix" : "" }, { "dropping-particle" : "", "family" : "Haaksma", "given" : "Jaap", "non-dropping-particle" : "", "parse-names" : false, "suffix" : "" }, { "dropping-particle" : "", "family" : "Paans", "given" : "Anne M J", "non-dropping-particle" : "", "parse-names" : false, "suffix" : "" }, { "dropping-particle" : "", "family" : "Willemsen", "given" : "Antoon T M", "non-dropping-particle" : "", "parse-names" : false, "suffix" : "" }, { "dropping-particle" : "", "family" : "Boer", "given" : "Johan A", "non-dropping-particle" : "den", "parse-names" : false, "suffix" : "" } ], "container-title" : "Biological psychiatry", "id" : "ITEM-2", "issue" : "7", "issued" : { "date-parts" : [ [ "2006", "10", "1" ] ] }, "page" : "730-40", "title" : "Psychobiological characteristics of dissociative identity disorder: a symptom provocation study.", "type" : "article-journal", "volume" : "60" }, "uris" : [ "http://www.mendeley.com/documents/?uuid=a76b0234-bd4b-43b6-ab41-35df74211b53" ] }, { "id" : "ITEM-3", "itemData" : { "DOI" : "10.1371/journal.pone.0039279", "ISSN" : "1932-6203", "PMID" : "22768068", "abstract" : "BACKGROUND: Dissociative identity disorder (DID) is a disputed psychiatric disorder. Research findings and clinical observations suggest that DID involves an authentic mental disorder related to factors such as traumatization and disrupted attachment. A competing view indicates that DID is due to fantasy proneness, suggestibility, suggestion, and role-playing. Here we examine whether dissociative identity state-dependent psychobiological features in DID can be induced in high or low fantasy prone individuals by instructed and motivated role-playing, and suggestion. METHODOLOGY/PRINCIPAL FINDINGS: DID patients, high fantasy prone and low fantasy prone controls were studied in two different types of identity states (neutral and trauma-related) in an autobiographical memory script-driven (neutral or trauma-related) imagery paradigm. The controls were instructed to enact the two DID identity states. Twenty-nine subjects participated in the study: 11 patients with DID, 10 high fantasy prone DID simulating controls, and 8 low fantasy prone DID simulating controls. Autonomic and subjective reactions were obtained. Differences in psychophysiological and neural activation patterns were found between the DID patients and both high and low fantasy prone controls. That is, the identity states in DID were not convincingly enacted by DID simulating controls. Thus, important differences regarding regional cerebral bloodflow and psychophysiological responses for different types of identity states in patients with DID were upheld after controlling for DID simulation. CONCLUSIONS/SIGNIFICANCE: The findings are at odds with the idea that differences among different types of dissociative identity states in DID can be explained by high fantasy proneness, motivated role-enactment, and suggestion. They indicate that DID does not have a sociocultural (e.g., iatrogenic) origin.", "author" : [ { "dropping-particle" : "", "family" : "Reinders", "given" : "Antje A T S", "non-dropping-particle" : "", "parse-names" : false, "suffix" : "" }, { "dropping-particle" : "", "family" : "Willemsen", "given" : "Antoon T M", "non-dropping-particle" : "", "parse-names" : false, "suffix" : "" }, { "dropping-particle" : "", "family" : "Vos", "given" : "Herry P J", "non-dropping-particle" : "", "parse-names" : false, "suffix" : "" }, { "dropping-particle" : "", "family" : "Boer", "given" : "Johan A", "non-dropping-particle" : "den", "parse-names" : false, "suffix" : "" }, { "dropping-particle" : "", "family" : "Nijenhuis", "given" : "Ellert R S", "non-dropping-particle" : "", "parse-names" : false, "suffix" : "" } ], "container-title" : "PloS one", "id" : "ITEM-3", "issue" : "6", "issued" : { "date-parts" : [ [ "2012", "1" ] ] }, "page" : "e39279", "title" : "Fact or factitious? A psychobiological study of authentic and simulated dissociative identity states.", "type" : "article-journal", "volume" : "7" }, "uris" : [ "http://www.mendeley.com/documents/?uuid=ce7cd9af-d28c-4a3f-9860-504eb0f4280f" ] }, { "id" : "ITEM-4", "itemData" : { "DOI" : "10.1016/j.pscychresns.2014.05.005", "ISSN" : "1872-7123", "PMID" : "24976633", "abstract" : "Imaging studies in posttraumatic stress disorder (PTSD) have shown differing neural network patterns between hypo-aroused/dissociative and hyper-aroused subtypes. Since dissociative identity disorder (DID) involves different emotional states, this study tests whether DID fits aspects of the differing brain-activation patterns in PTSD. While brain activation was monitored using positron emission tomography, DID individuals (n=11) and matched DID-simulating healthy controls (n=16) underwent an autobiographic script-driven imagery paradigm in a hypo-aroused and a hyper-aroused identity state. Results were consistent with those previously found in the two PTSD subtypes for the rostral/dorsal anterior cingulate, the prefrontal cortex, and the amygdala and insula, respectively. Furthermore, the dissociative identity state uniquely activated the posterior association areas and the parahippocampal gyri, whereas the hyper-aroused identity state uniquely activated the caudate nucleus. Therefore, we proposed an extended PTSD-based neurobiological model for emotion modulation in DID: the hypo-aroused identity state activates the prefrontal cortex, cingulate, posterior association areas and parahippocampal gyri, thereby overmodulating emotion regulation; the hyper-aroused identity state activates the amygdala and insula as well as the dorsal striatum, thereby undermodulating emotion regulation. This confirms the notion that DID is related to PTSD as hypo-aroused and hyper-arousal states in DID and PTSD are similar.", "author" : [ { "dropping-particle" : "", "family" : "Reinders", "given" : "Antje A T S", "non-dropping-particle" : "", "parse-names" : false, "suffix" : "" }, { "dropping-particle" : "", "family" : "Willemsen", "given" : "Antoon T M", "non-dropping-particle" : "", "parse-names" : false, "suffix" : "" }, { "dropping-particle" : "", "family" : "Boer", "given" : "Johan A", "non-dropping-particle" : "den", "parse-names" : false, "suffix" : "" }, { "dropping-particle" : "", "family" : "Vos", "given" : "Herry P J", "non-dropping-particle" : "", "parse-names" : false, "suffix" : "" }, { "dropping-particle" : "", "family" : "Veltman", "given" : "Dick J", "non-dropping-particle" : "", "parse-names" : false, "suffix" : "" }, { "dropping-particle" : "", "family" : "Loewenstein", "given" : "Richard J", "non-dropping-particle" : "", "parse-names" : false, "suffix" : "" } ], "container-title" : "Psychiatry research: Neuroimaging", "id" : "ITEM-4", "issue" : "3", "issued" : { "date-parts" : [ [ "2014", "6", "4" ] ] }, "page" : "236-43", "publisher" : "Elsevier", "title" : "Opposite brain emotion-regulation patterns in identity states of dissociative identity disorder: A PET study and neurobiological model.", "type" : "article-journal", "volume" : "223" }, "uris" : [ "http://www.mendeley.com/documents/?uuid=a6c97ed7-cccf-48a9-8090-08ad36f8428a" ] } ], "mendeley" : { "formattedCitation" : "(16,40\u201342)", "plainTextFormattedCitation" : "(16,40\u201342)", "previouslyFormattedCitation" : "(16,40\u201342)" }, "properties" : { "noteIndex" : 0 }, "schema" : "https://github.com/citation-style-language/schema/raw/master/csl-citation.json" }</w:instrText>
      </w:r>
      <w:r w:rsidR="00404909" w:rsidRPr="00450FDF">
        <w:rPr>
          <w:rFonts w:ascii="Arial" w:hAnsi="Arial" w:cs="Arial"/>
          <w:color w:val="000000" w:themeColor="text1"/>
          <w:sz w:val="22"/>
          <w:szCs w:val="22"/>
        </w:rPr>
        <w:fldChar w:fldCharType="separate"/>
      </w:r>
      <w:r w:rsidR="00404909" w:rsidRPr="00450FDF">
        <w:rPr>
          <w:rFonts w:ascii="Arial" w:hAnsi="Arial" w:cs="Arial"/>
          <w:noProof/>
          <w:color w:val="000000" w:themeColor="text1"/>
          <w:sz w:val="22"/>
          <w:szCs w:val="22"/>
        </w:rPr>
        <w:t>(16,40–42)</w:t>
      </w:r>
      <w:r w:rsidR="00404909" w:rsidRPr="00450FDF">
        <w:rPr>
          <w:rFonts w:ascii="Arial" w:hAnsi="Arial" w:cs="Arial"/>
          <w:color w:val="000000" w:themeColor="text1"/>
          <w:sz w:val="22"/>
          <w:szCs w:val="22"/>
        </w:rPr>
        <w:fldChar w:fldCharType="end"/>
      </w:r>
      <w:r w:rsidR="009A640D" w:rsidRPr="00450FDF">
        <w:rPr>
          <w:rFonts w:ascii="Arial" w:hAnsi="Arial" w:cs="Arial"/>
          <w:color w:val="000000" w:themeColor="text1"/>
          <w:sz w:val="22"/>
          <w:szCs w:val="22"/>
        </w:rPr>
        <w:t>. This resulted in one principal component explaining 71.5% of the variance in clinical measures of dissociation</w:t>
      </w:r>
      <w:r w:rsidR="008A14C4" w:rsidRPr="00450FDF">
        <w:rPr>
          <w:rFonts w:ascii="Arial" w:hAnsi="Arial" w:cs="Arial"/>
          <w:color w:val="000000" w:themeColor="text1"/>
          <w:sz w:val="22"/>
          <w:szCs w:val="22"/>
        </w:rPr>
        <w:t>, which was used in the analyses</w:t>
      </w:r>
      <w:r w:rsidR="009A640D" w:rsidRPr="00450FDF">
        <w:rPr>
          <w:rFonts w:ascii="Arial" w:hAnsi="Arial" w:cs="Arial"/>
          <w:color w:val="000000" w:themeColor="text1"/>
          <w:sz w:val="22"/>
          <w:szCs w:val="22"/>
        </w:rPr>
        <w:t>.</w:t>
      </w:r>
      <w:r w:rsidR="008A14C4" w:rsidRPr="00450FDF">
        <w:rPr>
          <w:rFonts w:ascii="Arial" w:hAnsi="Arial" w:cs="Arial"/>
          <w:color w:val="000000" w:themeColor="text1"/>
          <w:sz w:val="22"/>
          <w:szCs w:val="22"/>
        </w:rPr>
        <w:t xml:space="preserve"> Correlations between neuroanatomical features and measures of traumatic experiences (see </w:t>
      </w:r>
      <w:r w:rsidR="008A14C4" w:rsidRPr="00450FDF">
        <w:rPr>
          <w:rFonts w:ascii="Arial" w:hAnsi="Arial" w:cs="Arial"/>
          <w:sz w:val="22"/>
          <w:szCs w:val="22"/>
        </w:rPr>
        <w:t xml:space="preserve">Table 1 and 2) </w:t>
      </w:r>
      <w:r w:rsidR="008A14C4" w:rsidRPr="00450FDF">
        <w:rPr>
          <w:rFonts w:ascii="Arial" w:hAnsi="Arial" w:cs="Arial"/>
          <w:color w:val="000000" w:themeColor="text1"/>
          <w:sz w:val="22"/>
          <w:szCs w:val="22"/>
        </w:rPr>
        <w:t xml:space="preserve">were explored using </w:t>
      </w:r>
      <w:r w:rsidR="007263A2" w:rsidRPr="00450FDF">
        <w:rPr>
          <w:rFonts w:ascii="Arial" w:hAnsi="Arial" w:cs="Arial"/>
          <w:color w:val="000000" w:themeColor="text1"/>
          <w:sz w:val="22"/>
          <w:szCs w:val="22"/>
        </w:rPr>
        <w:t xml:space="preserve">composite </w:t>
      </w:r>
      <w:r w:rsidR="008A14C4" w:rsidRPr="00450FDF">
        <w:rPr>
          <w:rFonts w:ascii="Arial" w:hAnsi="Arial" w:cs="Arial"/>
          <w:color w:val="000000" w:themeColor="text1"/>
          <w:sz w:val="22"/>
          <w:szCs w:val="22"/>
        </w:rPr>
        <w:t xml:space="preserve">clinical scores of the three </w:t>
      </w:r>
      <w:r w:rsidR="008A14C4" w:rsidRPr="00450FDF">
        <w:rPr>
          <w:rFonts w:ascii="Arial" w:eastAsia="Times New Roman" w:hAnsi="Arial" w:cs="Arial"/>
          <w:sz w:val="22"/>
          <w:szCs w:val="22"/>
        </w:rPr>
        <w:t>developmental periods, that is for 0-6, 7-12 and 13-19, in three separate analyses</w:t>
      </w:r>
      <w:r w:rsidR="008A14C4" w:rsidRPr="00450FDF">
        <w:rPr>
          <w:rFonts w:ascii="Arial" w:hAnsi="Arial" w:cs="Arial"/>
          <w:color w:val="000000" w:themeColor="text1"/>
          <w:sz w:val="22"/>
          <w:szCs w:val="22"/>
        </w:rPr>
        <w:t xml:space="preserve">. </w:t>
      </w:r>
      <w:r w:rsidR="009A640D" w:rsidRPr="00450FDF">
        <w:rPr>
          <w:rFonts w:ascii="Arial" w:hAnsi="Arial" w:cs="Arial"/>
          <w:color w:val="000000" w:themeColor="text1"/>
          <w:sz w:val="22"/>
          <w:szCs w:val="22"/>
        </w:rPr>
        <w:t xml:space="preserve"> </w:t>
      </w:r>
    </w:p>
    <w:p w14:paraId="4E5CFF8D" w14:textId="27895F7C" w:rsidR="001B4566" w:rsidRPr="00295F63" w:rsidRDefault="007B1457" w:rsidP="00A263E5">
      <w:pPr>
        <w:spacing w:line="360" w:lineRule="auto"/>
        <w:rPr>
          <w:rFonts w:ascii="Arial" w:hAnsi="Arial" w:cs="Arial"/>
          <w:color w:val="000000" w:themeColor="text1"/>
          <w:sz w:val="22"/>
          <w:szCs w:val="22"/>
        </w:rPr>
      </w:pPr>
      <w:r>
        <w:rPr>
          <w:rFonts w:ascii="Arial" w:hAnsi="Arial" w:cs="Arial"/>
          <w:b/>
          <w:color w:val="000000" w:themeColor="text1"/>
          <w:sz w:val="22"/>
          <w:szCs w:val="22"/>
        </w:rPr>
        <w:br w:type="column"/>
      </w:r>
      <w:r w:rsidR="0036229C" w:rsidRPr="00295F63">
        <w:rPr>
          <w:rFonts w:ascii="Arial" w:hAnsi="Arial" w:cs="Arial"/>
          <w:b/>
          <w:color w:val="000000" w:themeColor="text1"/>
          <w:sz w:val="22"/>
          <w:szCs w:val="22"/>
        </w:rPr>
        <w:lastRenderedPageBreak/>
        <w:t>RESULTS</w:t>
      </w:r>
    </w:p>
    <w:p w14:paraId="60C4A148" w14:textId="77777777" w:rsidR="001B4566" w:rsidRPr="003F2D78" w:rsidRDefault="00467E73" w:rsidP="00A263E5">
      <w:pPr>
        <w:spacing w:line="360" w:lineRule="auto"/>
        <w:rPr>
          <w:rFonts w:ascii="Arial" w:hAnsi="Arial" w:cs="Arial"/>
          <w:b/>
          <w:color w:val="000000" w:themeColor="text1"/>
          <w:sz w:val="22"/>
          <w:szCs w:val="22"/>
        </w:rPr>
      </w:pPr>
      <w:r w:rsidRPr="003F2D78">
        <w:rPr>
          <w:rFonts w:ascii="Arial" w:hAnsi="Arial" w:cs="Arial"/>
          <w:b/>
          <w:i/>
          <w:color w:val="000000" w:themeColor="text1"/>
          <w:sz w:val="22"/>
          <w:szCs w:val="22"/>
        </w:rPr>
        <w:t>Participant</w:t>
      </w:r>
      <w:r w:rsidR="001B4566" w:rsidRPr="003F2D78">
        <w:rPr>
          <w:rFonts w:ascii="Arial" w:hAnsi="Arial" w:cs="Arial"/>
          <w:b/>
          <w:i/>
          <w:color w:val="000000" w:themeColor="text1"/>
          <w:sz w:val="22"/>
          <w:szCs w:val="22"/>
        </w:rPr>
        <w:t xml:space="preserve"> demographics and total brain measures</w:t>
      </w:r>
    </w:p>
    <w:p w14:paraId="0AC7B840" w14:textId="6705876B" w:rsidR="0070710F" w:rsidRPr="008C3C74" w:rsidRDefault="001B4566" w:rsidP="0070710F">
      <w:pPr>
        <w:spacing w:line="360" w:lineRule="auto"/>
        <w:rPr>
          <w:rFonts w:ascii="Arial" w:hAnsi="Arial" w:cs="Arial"/>
          <w:color w:val="000000" w:themeColor="text1"/>
          <w:sz w:val="22"/>
          <w:szCs w:val="22"/>
        </w:rPr>
      </w:pPr>
      <w:r w:rsidRPr="00295F63">
        <w:rPr>
          <w:rFonts w:ascii="Arial" w:hAnsi="Arial" w:cs="Arial"/>
          <w:color w:val="000000" w:themeColor="text1"/>
          <w:sz w:val="22"/>
          <w:szCs w:val="22"/>
        </w:rPr>
        <w:t>Overall, the DID and control group</w:t>
      </w:r>
      <w:r w:rsidR="00EF1BBE">
        <w:rPr>
          <w:rFonts w:ascii="Arial" w:hAnsi="Arial" w:cs="Arial"/>
          <w:color w:val="000000" w:themeColor="text1"/>
          <w:sz w:val="22"/>
          <w:szCs w:val="22"/>
        </w:rPr>
        <w:t>s</w:t>
      </w:r>
      <w:r w:rsidRPr="00295F63">
        <w:rPr>
          <w:rFonts w:ascii="Arial" w:hAnsi="Arial" w:cs="Arial"/>
          <w:color w:val="000000" w:themeColor="text1"/>
          <w:sz w:val="22"/>
          <w:szCs w:val="22"/>
        </w:rPr>
        <w:t xml:space="preserve"> did not differ si</w:t>
      </w:r>
      <w:r w:rsidR="00B8075F" w:rsidRPr="00295F63">
        <w:rPr>
          <w:rFonts w:ascii="Arial" w:hAnsi="Arial" w:cs="Arial"/>
          <w:color w:val="000000" w:themeColor="text1"/>
          <w:sz w:val="22"/>
          <w:szCs w:val="22"/>
        </w:rPr>
        <w:t xml:space="preserve">gnificantly in age (t(73)=0.08, p=0.608) or years </w:t>
      </w:r>
      <w:r w:rsidR="00EF1B35">
        <w:rPr>
          <w:rFonts w:ascii="Arial" w:hAnsi="Arial" w:cs="Arial"/>
          <w:color w:val="000000" w:themeColor="text1"/>
          <w:sz w:val="22"/>
          <w:szCs w:val="22"/>
        </w:rPr>
        <w:t>of</w:t>
      </w:r>
      <w:r w:rsidR="00EF1B35" w:rsidRPr="00295F63">
        <w:rPr>
          <w:rFonts w:ascii="Arial" w:hAnsi="Arial" w:cs="Arial"/>
          <w:color w:val="000000" w:themeColor="text1"/>
          <w:sz w:val="22"/>
          <w:szCs w:val="22"/>
        </w:rPr>
        <w:t xml:space="preserve"> </w:t>
      </w:r>
      <w:r w:rsidR="00B8075F" w:rsidRPr="00295F63">
        <w:rPr>
          <w:rFonts w:ascii="Arial" w:hAnsi="Arial" w:cs="Arial"/>
          <w:color w:val="000000" w:themeColor="text1"/>
          <w:sz w:val="22"/>
          <w:szCs w:val="22"/>
        </w:rPr>
        <w:t>education (t(73)=-1.23, p=0.220).</w:t>
      </w:r>
      <w:r w:rsidR="003D0319">
        <w:rPr>
          <w:rFonts w:ascii="Arial" w:hAnsi="Arial" w:cs="Arial"/>
          <w:color w:val="000000" w:themeColor="text1"/>
          <w:sz w:val="22"/>
          <w:szCs w:val="22"/>
        </w:rPr>
        <w:t xml:space="preserve"> </w:t>
      </w:r>
      <w:r w:rsidR="00104D04">
        <w:rPr>
          <w:rFonts w:ascii="Arial" w:hAnsi="Arial" w:cs="Arial"/>
          <w:color w:val="000000" w:themeColor="text1"/>
          <w:sz w:val="22"/>
          <w:szCs w:val="22"/>
        </w:rPr>
        <w:t>As expected, i</w:t>
      </w:r>
      <w:r w:rsidR="0085688E" w:rsidRPr="00295F63">
        <w:rPr>
          <w:rFonts w:ascii="Arial" w:hAnsi="Arial" w:cs="Arial"/>
          <w:color w:val="000000" w:themeColor="text1"/>
          <w:sz w:val="22"/>
          <w:szCs w:val="22"/>
        </w:rPr>
        <w:t xml:space="preserve">ndividuals with DID differed </w:t>
      </w:r>
      <w:r w:rsidR="000E0235" w:rsidRPr="00295F63">
        <w:rPr>
          <w:rFonts w:ascii="Arial" w:hAnsi="Arial" w:cs="Arial"/>
          <w:color w:val="000000" w:themeColor="text1"/>
          <w:sz w:val="22"/>
          <w:szCs w:val="22"/>
        </w:rPr>
        <w:t>significantly</w:t>
      </w:r>
      <w:r w:rsidR="0085688E" w:rsidRPr="00295F63">
        <w:rPr>
          <w:rFonts w:ascii="Arial" w:hAnsi="Arial" w:cs="Arial"/>
          <w:color w:val="000000" w:themeColor="text1"/>
          <w:sz w:val="22"/>
          <w:szCs w:val="22"/>
        </w:rPr>
        <w:t xml:space="preserve"> from controls in </w:t>
      </w:r>
      <w:r w:rsidR="006218A0">
        <w:rPr>
          <w:rFonts w:ascii="Arial" w:eastAsia="Verdana" w:hAnsi="Arial" w:cs="Arial"/>
          <w:color w:val="000000"/>
          <w:sz w:val="22"/>
          <w:szCs w:val="22"/>
        </w:rPr>
        <w:t>d</w:t>
      </w:r>
      <w:r w:rsidR="0070710F" w:rsidRPr="00AC0250">
        <w:rPr>
          <w:rFonts w:ascii="Arial" w:eastAsia="Verdana" w:hAnsi="Arial" w:cs="Arial"/>
          <w:color w:val="000000"/>
          <w:sz w:val="22"/>
          <w:szCs w:val="22"/>
        </w:rPr>
        <w:t>epersonalization and psychoform as well as somatoform dissociative symptom scores</w:t>
      </w:r>
      <w:r w:rsidR="006218A0">
        <w:rPr>
          <w:rFonts w:ascii="Arial" w:eastAsia="Verdana" w:hAnsi="Arial" w:cs="Arial"/>
          <w:color w:val="000000"/>
          <w:sz w:val="22"/>
          <w:szCs w:val="22"/>
        </w:rPr>
        <w:t>, which</w:t>
      </w:r>
      <w:r w:rsidR="0070710F" w:rsidRPr="00AC0250">
        <w:rPr>
          <w:rFonts w:ascii="Arial" w:eastAsia="Verdana" w:hAnsi="Arial" w:cs="Arial"/>
          <w:color w:val="000000"/>
          <w:sz w:val="22"/>
          <w:szCs w:val="22"/>
        </w:rPr>
        <w:t xml:space="preserve"> were significantly higher in the DID group as compared to the HC group (p&lt;0.001) (</w:t>
      </w:r>
      <w:r w:rsidR="0070710F">
        <w:rPr>
          <w:rFonts w:ascii="Arial" w:eastAsia="Verdana" w:hAnsi="Arial" w:cs="Arial"/>
          <w:color w:val="000000"/>
          <w:sz w:val="22"/>
          <w:szCs w:val="22"/>
        </w:rPr>
        <w:t>see Table 1</w:t>
      </w:r>
      <w:r w:rsidR="0070710F" w:rsidRPr="00AC0250">
        <w:rPr>
          <w:rFonts w:ascii="Arial" w:eastAsia="Verdana" w:hAnsi="Arial" w:cs="Arial"/>
          <w:color w:val="000000"/>
          <w:sz w:val="22"/>
          <w:szCs w:val="22"/>
        </w:rPr>
        <w:t xml:space="preserve">). </w:t>
      </w:r>
      <w:r w:rsidR="0070710F" w:rsidRPr="00AC0250">
        <w:rPr>
          <w:rFonts w:ascii="Arial" w:hAnsi="Arial" w:cs="Arial"/>
          <w:color w:val="000000" w:themeColor="text1"/>
          <w:sz w:val="22"/>
          <w:szCs w:val="22"/>
        </w:rPr>
        <w:t xml:space="preserve">DID patients scored </w:t>
      </w:r>
      <w:r w:rsidR="0070710F" w:rsidRPr="00AC0250">
        <w:rPr>
          <w:rFonts w:ascii="Arial" w:hAnsi="Arial" w:cs="Arial"/>
          <w:sz w:val="22"/>
          <w:szCs w:val="22"/>
        </w:rPr>
        <w:t xml:space="preserve">significantly higher </w:t>
      </w:r>
      <w:r w:rsidR="0070710F" w:rsidRPr="00AC0250">
        <w:rPr>
          <w:rFonts w:ascii="Arial" w:hAnsi="Arial" w:cs="Arial"/>
          <w:color w:val="000000"/>
          <w:sz w:val="22"/>
          <w:szCs w:val="22"/>
        </w:rPr>
        <w:t xml:space="preserve">compared to HC on all five adverse event categories, namely emotional neglect, emotional abuse, physical abuse, sexual abuse, and sexual harassment </w:t>
      </w:r>
      <w:r w:rsidR="0070710F" w:rsidRPr="00AC0250">
        <w:rPr>
          <w:rFonts w:ascii="Arial" w:eastAsia="Verdana" w:hAnsi="Arial" w:cs="Arial"/>
          <w:color w:val="000000"/>
          <w:sz w:val="22"/>
          <w:szCs w:val="22"/>
        </w:rPr>
        <w:t>(</w:t>
      </w:r>
      <w:r w:rsidR="0070710F">
        <w:rPr>
          <w:rFonts w:ascii="Arial" w:eastAsia="Verdana" w:hAnsi="Arial" w:cs="Arial"/>
          <w:color w:val="000000"/>
          <w:sz w:val="22"/>
          <w:szCs w:val="22"/>
        </w:rPr>
        <w:t>see Table 2</w:t>
      </w:r>
      <w:r w:rsidR="0070710F" w:rsidRPr="00AC0250">
        <w:rPr>
          <w:rFonts w:ascii="Arial" w:eastAsia="Verdana" w:hAnsi="Arial" w:cs="Arial"/>
          <w:color w:val="000000"/>
          <w:sz w:val="22"/>
          <w:szCs w:val="22"/>
        </w:rPr>
        <w:t>)</w:t>
      </w:r>
      <w:r w:rsidR="0070710F" w:rsidRPr="00AC0250">
        <w:rPr>
          <w:rFonts w:ascii="Arial" w:hAnsi="Arial" w:cs="Arial"/>
          <w:color w:val="000000"/>
          <w:sz w:val="22"/>
          <w:szCs w:val="22"/>
        </w:rPr>
        <w:t>. This was the case for the total TEC scores as well as for the three childhood age ranges 0-6, 7</w:t>
      </w:r>
      <w:r w:rsidR="009F6E4C">
        <w:rPr>
          <w:rFonts w:ascii="Arial" w:hAnsi="Arial" w:cs="Arial"/>
          <w:color w:val="000000"/>
          <w:sz w:val="22"/>
          <w:szCs w:val="22"/>
        </w:rPr>
        <w:t>-12, and 13-18 years. Notably</w:t>
      </w:r>
      <w:r w:rsidR="0070710F" w:rsidRPr="00AC0250">
        <w:rPr>
          <w:rFonts w:ascii="Arial" w:hAnsi="Arial" w:cs="Arial"/>
          <w:color w:val="000000"/>
          <w:sz w:val="22"/>
          <w:szCs w:val="22"/>
        </w:rPr>
        <w:t>, TEC scores for none of the five categories were significantly different between the childhood age ranges 7-12 and 13-18</w:t>
      </w:r>
      <w:r w:rsidR="0070710F" w:rsidRPr="000E4F35">
        <w:rPr>
          <w:rFonts w:ascii="Arial" w:hAnsi="Arial" w:cs="Arial"/>
          <w:color w:val="000000"/>
          <w:sz w:val="22"/>
          <w:szCs w:val="22"/>
        </w:rPr>
        <w:t xml:space="preserve">. </w:t>
      </w:r>
      <w:r w:rsidR="000E4F35" w:rsidRPr="008C3C74">
        <w:rPr>
          <w:rFonts w:ascii="Arial" w:hAnsi="Arial" w:cs="Arial"/>
          <w:color w:val="000000"/>
          <w:sz w:val="22"/>
          <w:szCs w:val="22"/>
        </w:rPr>
        <w:t xml:space="preserve">On the other hand, TEC scores from the age range 0-6 differed significantly on all five categories when compared to both older age ranges. </w:t>
      </w:r>
      <w:r w:rsidR="0070710F" w:rsidRPr="000E4F35">
        <w:rPr>
          <w:rFonts w:ascii="Arial" w:hAnsi="Arial" w:cs="Arial"/>
          <w:color w:val="000000"/>
          <w:sz w:val="22"/>
          <w:szCs w:val="22"/>
        </w:rPr>
        <w:t>Thes</w:t>
      </w:r>
      <w:r w:rsidR="0070710F" w:rsidRPr="00AC0250">
        <w:rPr>
          <w:rFonts w:ascii="Arial" w:hAnsi="Arial" w:cs="Arial"/>
          <w:color w:val="000000"/>
          <w:sz w:val="22"/>
          <w:szCs w:val="22"/>
        </w:rPr>
        <w:t>e results are indicative of early childhood traumatization.</w:t>
      </w:r>
    </w:p>
    <w:p w14:paraId="726C37EC" w14:textId="701FE62F" w:rsidR="001B4566" w:rsidRPr="00295F63" w:rsidRDefault="0070710F" w:rsidP="00A263E5">
      <w:pPr>
        <w:spacing w:line="360" w:lineRule="auto"/>
        <w:rPr>
          <w:rFonts w:ascii="Arial" w:hAnsi="Arial" w:cs="Arial"/>
          <w:color w:val="000000" w:themeColor="text1"/>
          <w:sz w:val="22"/>
          <w:szCs w:val="22"/>
        </w:rPr>
      </w:pPr>
      <w:r>
        <w:rPr>
          <w:rFonts w:ascii="Arial" w:hAnsi="Arial" w:cs="Arial"/>
          <w:color w:val="000000" w:themeColor="text1"/>
          <w:sz w:val="22"/>
          <w:szCs w:val="22"/>
        </w:rPr>
        <w:tab/>
        <w:t xml:space="preserve">Individuals with DID </w:t>
      </w:r>
      <w:r w:rsidR="001B4566" w:rsidRPr="00295F63">
        <w:rPr>
          <w:rFonts w:ascii="Arial" w:hAnsi="Arial" w:cs="Arial"/>
          <w:color w:val="000000" w:themeColor="text1"/>
          <w:sz w:val="22"/>
          <w:szCs w:val="22"/>
        </w:rPr>
        <w:t xml:space="preserve">had significantly reduced total grey matter volume relative to </w:t>
      </w:r>
      <w:r w:rsidR="003D0319">
        <w:rPr>
          <w:rFonts w:ascii="Arial" w:hAnsi="Arial" w:cs="Arial"/>
          <w:color w:val="000000" w:themeColor="text1"/>
          <w:sz w:val="22"/>
          <w:szCs w:val="22"/>
        </w:rPr>
        <w:t xml:space="preserve">HC </w:t>
      </w:r>
      <w:r w:rsidR="001B4566" w:rsidRPr="00295F63">
        <w:rPr>
          <w:rFonts w:ascii="Arial" w:hAnsi="Arial" w:cs="Arial"/>
          <w:color w:val="000000" w:themeColor="text1"/>
          <w:sz w:val="22"/>
          <w:szCs w:val="22"/>
        </w:rPr>
        <w:t>(F</w:t>
      </w:r>
      <w:r w:rsidR="00DE0DE6" w:rsidRPr="00295F63">
        <w:rPr>
          <w:rFonts w:ascii="Arial" w:hAnsi="Arial" w:cs="Arial"/>
          <w:color w:val="000000" w:themeColor="text1"/>
          <w:sz w:val="22"/>
          <w:szCs w:val="22"/>
        </w:rPr>
        <w:t>(1)=6.169, p=0.015). There were</w:t>
      </w:r>
      <w:r w:rsidR="001B4566" w:rsidRPr="00295F63">
        <w:rPr>
          <w:rFonts w:ascii="Arial" w:hAnsi="Arial" w:cs="Arial"/>
          <w:color w:val="000000" w:themeColor="text1"/>
          <w:sz w:val="22"/>
          <w:szCs w:val="22"/>
        </w:rPr>
        <w:t xml:space="preserve"> </w:t>
      </w:r>
      <w:r w:rsidR="006D2444" w:rsidRPr="00295F63">
        <w:rPr>
          <w:rFonts w:ascii="Arial" w:hAnsi="Arial" w:cs="Arial"/>
          <w:color w:val="000000" w:themeColor="text1"/>
          <w:sz w:val="22"/>
          <w:szCs w:val="22"/>
        </w:rPr>
        <w:t>no significant between-group difference</w:t>
      </w:r>
      <w:r w:rsidR="008C6498" w:rsidRPr="00295F63">
        <w:rPr>
          <w:rFonts w:ascii="Arial" w:hAnsi="Arial" w:cs="Arial"/>
          <w:color w:val="000000" w:themeColor="text1"/>
          <w:sz w:val="22"/>
          <w:szCs w:val="22"/>
        </w:rPr>
        <w:t>s</w:t>
      </w:r>
      <w:r w:rsidR="001B4566" w:rsidRPr="00295F63">
        <w:rPr>
          <w:rFonts w:ascii="Arial" w:hAnsi="Arial" w:cs="Arial"/>
          <w:color w:val="000000" w:themeColor="text1"/>
          <w:sz w:val="22"/>
          <w:szCs w:val="22"/>
        </w:rPr>
        <w:t xml:space="preserve"> in total surface area (F(1)=3.18, p=0.</w:t>
      </w:r>
      <w:r w:rsidR="00167FC1" w:rsidRPr="00295F63">
        <w:rPr>
          <w:rFonts w:ascii="Arial" w:hAnsi="Arial" w:cs="Arial"/>
          <w:color w:val="000000" w:themeColor="text1"/>
          <w:sz w:val="22"/>
          <w:szCs w:val="22"/>
        </w:rPr>
        <w:t>079</w:t>
      </w:r>
      <w:r w:rsidR="001B4566" w:rsidRPr="00295F63">
        <w:rPr>
          <w:rFonts w:ascii="Arial" w:hAnsi="Arial" w:cs="Arial"/>
          <w:color w:val="000000" w:themeColor="text1"/>
          <w:sz w:val="22"/>
          <w:szCs w:val="22"/>
        </w:rPr>
        <w:t>) or average cortical thickness (F(1)=1.71, p=</w:t>
      </w:r>
      <w:bookmarkStart w:id="1" w:name="OLE_LINK3"/>
      <w:bookmarkStart w:id="2" w:name="OLE_LINK4"/>
      <w:bookmarkStart w:id="3" w:name="OLE_LINK5"/>
      <w:r w:rsidR="001E744E">
        <w:rPr>
          <w:rFonts w:ascii="Arial" w:hAnsi="Arial" w:cs="Arial"/>
          <w:color w:val="000000" w:themeColor="text1"/>
          <w:sz w:val="22"/>
          <w:szCs w:val="22"/>
        </w:rPr>
        <w:t>0.196).</w:t>
      </w:r>
    </w:p>
    <w:bookmarkEnd w:id="1"/>
    <w:bookmarkEnd w:id="2"/>
    <w:bookmarkEnd w:id="3"/>
    <w:p w14:paraId="3CAA40BC" w14:textId="77777777" w:rsidR="0026698D" w:rsidRDefault="0026698D" w:rsidP="00A263E5">
      <w:pPr>
        <w:spacing w:line="360" w:lineRule="auto"/>
        <w:rPr>
          <w:rFonts w:ascii="Arial" w:hAnsi="Arial" w:cs="Arial"/>
          <w:b/>
          <w:i/>
          <w:color w:val="000000" w:themeColor="text1"/>
          <w:sz w:val="22"/>
          <w:szCs w:val="22"/>
        </w:rPr>
      </w:pPr>
    </w:p>
    <w:p w14:paraId="6A824AA1" w14:textId="77777777" w:rsidR="001B4566" w:rsidRPr="003F2D78" w:rsidRDefault="001B4566" w:rsidP="00A263E5">
      <w:pPr>
        <w:spacing w:line="360" w:lineRule="auto"/>
        <w:rPr>
          <w:rFonts w:ascii="Arial" w:hAnsi="Arial" w:cs="Arial"/>
          <w:b/>
          <w:i/>
          <w:color w:val="000000" w:themeColor="text1"/>
          <w:sz w:val="22"/>
          <w:szCs w:val="22"/>
        </w:rPr>
      </w:pPr>
      <w:r w:rsidRPr="003F2D78">
        <w:rPr>
          <w:rFonts w:ascii="Arial" w:hAnsi="Arial" w:cs="Arial"/>
          <w:b/>
          <w:i/>
          <w:color w:val="000000" w:themeColor="text1"/>
          <w:sz w:val="22"/>
          <w:szCs w:val="22"/>
        </w:rPr>
        <w:t>Between-group Differences in Cortical Thickness</w:t>
      </w:r>
    </w:p>
    <w:p w14:paraId="2375F6A1" w14:textId="12CE79CF" w:rsidR="001B4566" w:rsidRPr="00295F63" w:rsidRDefault="001B4566" w:rsidP="00A263E5">
      <w:pPr>
        <w:spacing w:line="360" w:lineRule="auto"/>
        <w:rPr>
          <w:rFonts w:ascii="Arial" w:hAnsi="Arial" w:cs="Arial"/>
          <w:color w:val="000000" w:themeColor="text1"/>
          <w:sz w:val="22"/>
          <w:szCs w:val="22"/>
        </w:rPr>
      </w:pPr>
      <w:r w:rsidRPr="00295F63">
        <w:rPr>
          <w:rFonts w:ascii="Arial" w:hAnsi="Arial" w:cs="Arial"/>
          <w:color w:val="000000" w:themeColor="text1"/>
          <w:sz w:val="22"/>
          <w:szCs w:val="22"/>
        </w:rPr>
        <w:t xml:space="preserve">We initially examined vertex-wise between-group differences in cortical thickness (CT). </w:t>
      </w:r>
      <w:r w:rsidR="003D0319">
        <w:rPr>
          <w:rFonts w:ascii="Arial" w:hAnsi="Arial" w:cs="Arial"/>
          <w:color w:val="000000" w:themeColor="text1"/>
          <w:sz w:val="22"/>
          <w:szCs w:val="22"/>
        </w:rPr>
        <w:t>I</w:t>
      </w:r>
      <w:r w:rsidRPr="00295F63">
        <w:rPr>
          <w:rFonts w:ascii="Arial" w:hAnsi="Arial" w:cs="Arial"/>
          <w:color w:val="000000" w:themeColor="text1"/>
          <w:sz w:val="22"/>
          <w:szCs w:val="22"/>
        </w:rPr>
        <w:t xml:space="preserve">ndividuals with DID had significantly decreased CT </w:t>
      </w:r>
      <w:r w:rsidR="00975121">
        <w:rPr>
          <w:rFonts w:ascii="Arial" w:hAnsi="Arial" w:cs="Arial"/>
          <w:color w:val="000000" w:themeColor="text1"/>
          <w:sz w:val="22"/>
          <w:szCs w:val="22"/>
        </w:rPr>
        <w:t xml:space="preserve">(p&lt;0.05) </w:t>
      </w:r>
      <w:r w:rsidRPr="00295F63">
        <w:rPr>
          <w:rFonts w:ascii="Arial" w:hAnsi="Arial" w:cs="Arial"/>
          <w:color w:val="000000" w:themeColor="text1"/>
          <w:sz w:val="22"/>
          <w:szCs w:val="22"/>
        </w:rPr>
        <w:t>in several spatially distributed clus</w:t>
      </w:r>
      <w:r w:rsidR="002B4083" w:rsidRPr="00295F63">
        <w:rPr>
          <w:rFonts w:ascii="Arial" w:hAnsi="Arial" w:cs="Arial"/>
          <w:color w:val="000000" w:themeColor="text1"/>
          <w:sz w:val="22"/>
          <w:szCs w:val="22"/>
        </w:rPr>
        <w:t xml:space="preserve">ters across the cortex, see Table </w:t>
      </w:r>
      <w:r w:rsidR="0070710F">
        <w:rPr>
          <w:rFonts w:ascii="Arial" w:hAnsi="Arial" w:cs="Arial"/>
          <w:color w:val="000000" w:themeColor="text1"/>
          <w:sz w:val="22"/>
          <w:szCs w:val="22"/>
        </w:rPr>
        <w:t>3</w:t>
      </w:r>
      <w:r w:rsidR="002B4083" w:rsidRPr="00295F63">
        <w:rPr>
          <w:rFonts w:ascii="Arial" w:hAnsi="Arial" w:cs="Arial"/>
          <w:color w:val="000000" w:themeColor="text1"/>
          <w:sz w:val="22"/>
          <w:szCs w:val="22"/>
        </w:rPr>
        <w:t xml:space="preserve"> and Figure 1A</w:t>
      </w:r>
      <w:r w:rsidRPr="00295F63">
        <w:rPr>
          <w:rFonts w:ascii="Arial" w:hAnsi="Arial" w:cs="Arial"/>
          <w:color w:val="000000" w:themeColor="text1"/>
          <w:sz w:val="22"/>
          <w:szCs w:val="22"/>
        </w:rPr>
        <w:t xml:space="preserve">. </w:t>
      </w:r>
      <w:r w:rsidR="003D0319">
        <w:rPr>
          <w:rFonts w:ascii="Arial" w:hAnsi="Arial" w:cs="Arial"/>
          <w:color w:val="000000" w:themeColor="text1"/>
          <w:sz w:val="22"/>
          <w:szCs w:val="22"/>
        </w:rPr>
        <w:t xml:space="preserve">The clusters </w:t>
      </w:r>
      <w:r w:rsidRPr="00295F63">
        <w:rPr>
          <w:rFonts w:ascii="Arial" w:hAnsi="Arial" w:cs="Arial"/>
          <w:color w:val="000000" w:themeColor="text1"/>
          <w:sz w:val="22"/>
          <w:szCs w:val="22"/>
        </w:rPr>
        <w:t>included (1) the left insular cortex</w:t>
      </w:r>
      <w:r w:rsidR="003F096C">
        <w:rPr>
          <w:rFonts w:ascii="Arial" w:hAnsi="Arial" w:cs="Arial"/>
          <w:color w:val="000000" w:themeColor="text1"/>
          <w:sz w:val="22"/>
          <w:szCs w:val="22"/>
        </w:rPr>
        <w:t>,</w:t>
      </w:r>
      <w:r w:rsidRPr="00295F63">
        <w:rPr>
          <w:rFonts w:ascii="Arial" w:hAnsi="Arial" w:cs="Arial"/>
          <w:color w:val="000000" w:themeColor="text1"/>
          <w:sz w:val="22"/>
          <w:szCs w:val="22"/>
        </w:rPr>
        <w:t xml:space="preserve"> extending into the </w:t>
      </w:r>
      <w:r w:rsidR="00753919" w:rsidRPr="00295F63">
        <w:rPr>
          <w:rFonts w:ascii="Arial" w:hAnsi="Arial" w:cs="Arial"/>
          <w:color w:val="000000" w:themeColor="text1"/>
          <w:sz w:val="22"/>
          <w:szCs w:val="22"/>
        </w:rPr>
        <w:t xml:space="preserve">dorsolateral </w:t>
      </w:r>
      <w:r w:rsidRPr="00295F63">
        <w:rPr>
          <w:rFonts w:ascii="Arial" w:hAnsi="Arial" w:cs="Arial"/>
          <w:color w:val="000000" w:themeColor="text1"/>
          <w:sz w:val="22"/>
          <w:szCs w:val="22"/>
        </w:rPr>
        <w:t>orbitofrontal cortex (</w:t>
      </w:r>
      <w:bookmarkStart w:id="4" w:name="OLE_LINK32"/>
      <w:bookmarkStart w:id="5" w:name="OLE_LINK33"/>
      <w:r w:rsidR="003F096C" w:rsidRPr="00295F63">
        <w:rPr>
          <w:rFonts w:ascii="Arial" w:hAnsi="Arial" w:cs="Arial"/>
          <w:color w:val="000000" w:themeColor="text1"/>
          <w:sz w:val="22"/>
          <w:szCs w:val="22"/>
        </w:rPr>
        <w:t>Brodmann</w:t>
      </w:r>
      <w:bookmarkEnd w:id="4"/>
      <w:bookmarkEnd w:id="5"/>
      <w:r w:rsidR="003F096C">
        <w:rPr>
          <w:rFonts w:ascii="Arial" w:hAnsi="Arial" w:cs="Arial"/>
          <w:color w:val="000000" w:themeColor="text1"/>
          <w:sz w:val="22"/>
          <w:szCs w:val="22"/>
        </w:rPr>
        <w:t xml:space="preserve"> area [BA]</w:t>
      </w:r>
      <w:r w:rsidR="00753919" w:rsidRPr="00295F63">
        <w:rPr>
          <w:rFonts w:ascii="Arial" w:hAnsi="Arial" w:cs="Arial"/>
          <w:color w:val="000000" w:themeColor="text1"/>
          <w:sz w:val="22"/>
          <w:szCs w:val="22"/>
        </w:rPr>
        <w:t xml:space="preserve"> </w:t>
      </w:r>
      <w:r w:rsidRPr="00295F63">
        <w:rPr>
          <w:rFonts w:ascii="Arial" w:hAnsi="Arial" w:cs="Arial"/>
          <w:color w:val="000000" w:themeColor="text1"/>
          <w:sz w:val="22"/>
          <w:szCs w:val="22"/>
        </w:rPr>
        <w:t>44/45/47), (2)</w:t>
      </w:r>
      <w:r w:rsidR="00583C63" w:rsidRPr="00295F63">
        <w:rPr>
          <w:rFonts w:ascii="Arial" w:hAnsi="Arial" w:cs="Arial"/>
          <w:color w:val="000000" w:themeColor="text1"/>
          <w:sz w:val="22"/>
          <w:szCs w:val="22"/>
        </w:rPr>
        <w:t xml:space="preserve"> th</w:t>
      </w:r>
      <w:r w:rsidR="00474193">
        <w:rPr>
          <w:rFonts w:ascii="Arial" w:hAnsi="Arial" w:cs="Arial"/>
          <w:color w:val="000000" w:themeColor="text1"/>
          <w:sz w:val="22"/>
          <w:szCs w:val="22"/>
        </w:rPr>
        <w:t>e cingulate cortex</w:t>
      </w:r>
      <w:r w:rsidR="00583C63" w:rsidRPr="00295F63">
        <w:rPr>
          <w:rFonts w:ascii="Arial" w:hAnsi="Arial" w:cs="Arial"/>
          <w:color w:val="000000" w:themeColor="text1"/>
          <w:sz w:val="22"/>
          <w:szCs w:val="22"/>
        </w:rPr>
        <w:t>, (3)</w:t>
      </w:r>
      <w:r w:rsidRPr="00295F63">
        <w:rPr>
          <w:rFonts w:ascii="Arial" w:hAnsi="Arial" w:cs="Arial"/>
          <w:color w:val="000000" w:themeColor="text1"/>
          <w:sz w:val="22"/>
          <w:szCs w:val="22"/>
        </w:rPr>
        <w:t xml:space="preserve"> the left temporo-</w:t>
      </w:r>
      <w:r w:rsidR="00583C63" w:rsidRPr="00295F63">
        <w:rPr>
          <w:rFonts w:ascii="Arial" w:hAnsi="Arial" w:cs="Arial"/>
          <w:color w:val="000000" w:themeColor="text1"/>
          <w:sz w:val="22"/>
          <w:szCs w:val="22"/>
        </w:rPr>
        <w:t>parietal junction (BA 19/39), (4 &amp; 5</w:t>
      </w:r>
      <w:r w:rsidRPr="00295F63">
        <w:rPr>
          <w:rFonts w:ascii="Arial" w:hAnsi="Arial" w:cs="Arial"/>
          <w:color w:val="000000" w:themeColor="text1"/>
          <w:sz w:val="22"/>
          <w:szCs w:val="22"/>
        </w:rPr>
        <w:t xml:space="preserve">) the left </w:t>
      </w:r>
      <w:r w:rsidR="00583C63" w:rsidRPr="00295F63">
        <w:rPr>
          <w:rFonts w:ascii="Arial" w:hAnsi="Arial" w:cs="Arial"/>
          <w:color w:val="000000" w:themeColor="text1"/>
          <w:sz w:val="22"/>
          <w:szCs w:val="22"/>
        </w:rPr>
        <w:t>pre/</w:t>
      </w:r>
      <w:r w:rsidRPr="00295F63">
        <w:rPr>
          <w:rFonts w:ascii="Arial" w:hAnsi="Arial" w:cs="Arial"/>
          <w:color w:val="000000" w:themeColor="text1"/>
          <w:sz w:val="22"/>
          <w:szCs w:val="22"/>
        </w:rPr>
        <w:t>p</w:t>
      </w:r>
      <w:r w:rsidR="00911C36">
        <w:rPr>
          <w:rFonts w:ascii="Arial" w:hAnsi="Arial" w:cs="Arial"/>
          <w:color w:val="000000" w:themeColor="text1"/>
          <w:sz w:val="22"/>
          <w:szCs w:val="22"/>
        </w:rPr>
        <w:t>ost-central gyrus</w:t>
      </w:r>
      <w:r w:rsidR="00583C63" w:rsidRPr="00295F63">
        <w:rPr>
          <w:rFonts w:ascii="Arial" w:hAnsi="Arial" w:cs="Arial"/>
          <w:color w:val="000000" w:themeColor="text1"/>
          <w:sz w:val="22"/>
          <w:szCs w:val="22"/>
        </w:rPr>
        <w:t>, and (6</w:t>
      </w:r>
      <w:r w:rsidRPr="00295F63">
        <w:rPr>
          <w:rFonts w:ascii="Arial" w:hAnsi="Arial" w:cs="Arial"/>
          <w:color w:val="000000" w:themeColor="text1"/>
          <w:sz w:val="22"/>
          <w:szCs w:val="22"/>
        </w:rPr>
        <w:t xml:space="preserve">) the </w:t>
      </w:r>
      <w:r w:rsidR="00911C36">
        <w:rPr>
          <w:rFonts w:ascii="Arial" w:hAnsi="Arial" w:cs="Arial"/>
          <w:color w:val="000000" w:themeColor="text1"/>
          <w:sz w:val="22"/>
          <w:szCs w:val="22"/>
        </w:rPr>
        <w:t>right temporal lobe</w:t>
      </w:r>
      <w:r w:rsidRPr="00295F63">
        <w:rPr>
          <w:rFonts w:ascii="Arial" w:hAnsi="Arial" w:cs="Arial"/>
          <w:color w:val="000000" w:themeColor="text1"/>
          <w:sz w:val="22"/>
          <w:szCs w:val="22"/>
        </w:rPr>
        <w:t xml:space="preserve">. There were no brain regions where individuals with DID had significantly increased CT relative to HC. </w:t>
      </w:r>
    </w:p>
    <w:p w14:paraId="7F8346CA" w14:textId="77777777" w:rsidR="0026698D" w:rsidRDefault="0026698D" w:rsidP="00A263E5">
      <w:pPr>
        <w:spacing w:line="360" w:lineRule="auto"/>
        <w:rPr>
          <w:rFonts w:ascii="Arial" w:hAnsi="Arial" w:cs="Arial"/>
          <w:b/>
          <w:i/>
          <w:color w:val="000000" w:themeColor="text1"/>
          <w:sz w:val="22"/>
          <w:szCs w:val="22"/>
        </w:rPr>
      </w:pPr>
    </w:p>
    <w:p w14:paraId="6A3FBE73" w14:textId="77777777" w:rsidR="001B4566" w:rsidRPr="003F2D78" w:rsidRDefault="001B4566" w:rsidP="00A263E5">
      <w:pPr>
        <w:spacing w:line="360" w:lineRule="auto"/>
        <w:rPr>
          <w:rFonts w:ascii="Arial" w:hAnsi="Arial" w:cs="Arial"/>
          <w:b/>
          <w:i/>
          <w:color w:val="000000" w:themeColor="text1"/>
          <w:sz w:val="22"/>
          <w:szCs w:val="22"/>
        </w:rPr>
      </w:pPr>
      <w:r w:rsidRPr="003F2D78">
        <w:rPr>
          <w:rFonts w:ascii="Arial" w:hAnsi="Arial" w:cs="Arial"/>
          <w:b/>
          <w:i/>
          <w:color w:val="000000" w:themeColor="text1"/>
          <w:sz w:val="22"/>
          <w:szCs w:val="22"/>
        </w:rPr>
        <w:t>Between-group Differences in Surface Area</w:t>
      </w:r>
    </w:p>
    <w:p w14:paraId="2A7A206A" w14:textId="1623C0DC" w:rsidR="001B4566" w:rsidRPr="00295F63" w:rsidRDefault="008C6498" w:rsidP="00A263E5">
      <w:pPr>
        <w:spacing w:line="360" w:lineRule="auto"/>
        <w:rPr>
          <w:rFonts w:ascii="Arial" w:hAnsi="Arial" w:cs="Arial"/>
          <w:color w:val="000000" w:themeColor="text1"/>
          <w:sz w:val="22"/>
          <w:szCs w:val="22"/>
        </w:rPr>
      </w:pPr>
      <w:r w:rsidRPr="00295F63">
        <w:rPr>
          <w:rFonts w:ascii="Arial" w:hAnsi="Arial" w:cs="Arial"/>
          <w:color w:val="000000" w:themeColor="text1"/>
          <w:sz w:val="22"/>
          <w:szCs w:val="22"/>
        </w:rPr>
        <w:t>I</w:t>
      </w:r>
      <w:r w:rsidR="001B4566" w:rsidRPr="00295F63">
        <w:rPr>
          <w:rFonts w:ascii="Arial" w:hAnsi="Arial" w:cs="Arial"/>
          <w:color w:val="000000" w:themeColor="text1"/>
          <w:sz w:val="22"/>
          <w:szCs w:val="22"/>
        </w:rPr>
        <w:t xml:space="preserve">ndividuals with DID had </w:t>
      </w:r>
      <w:r w:rsidR="00F351EC" w:rsidRPr="00295F63">
        <w:rPr>
          <w:rFonts w:ascii="Arial" w:hAnsi="Arial" w:cs="Arial"/>
          <w:color w:val="000000" w:themeColor="text1"/>
          <w:sz w:val="22"/>
          <w:szCs w:val="22"/>
        </w:rPr>
        <w:t xml:space="preserve">significantly </w:t>
      </w:r>
      <w:r w:rsidR="001B4566" w:rsidRPr="00295F63">
        <w:rPr>
          <w:rFonts w:ascii="Arial" w:hAnsi="Arial" w:cs="Arial"/>
          <w:color w:val="000000" w:themeColor="text1"/>
          <w:sz w:val="22"/>
          <w:szCs w:val="22"/>
        </w:rPr>
        <w:t>reduced surface area</w:t>
      </w:r>
      <w:r w:rsidR="005F273F">
        <w:rPr>
          <w:rFonts w:ascii="Arial" w:hAnsi="Arial" w:cs="Arial"/>
          <w:color w:val="000000" w:themeColor="text1"/>
          <w:sz w:val="22"/>
          <w:szCs w:val="22"/>
        </w:rPr>
        <w:t xml:space="preserve"> (SA)</w:t>
      </w:r>
      <w:r w:rsidR="001B4566" w:rsidRPr="00295F63">
        <w:rPr>
          <w:rFonts w:ascii="Arial" w:hAnsi="Arial" w:cs="Arial"/>
          <w:color w:val="000000" w:themeColor="text1"/>
          <w:sz w:val="22"/>
          <w:szCs w:val="22"/>
        </w:rPr>
        <w:t xml:space="preserve"> </w:t>
      </w:r>
      <w:r w:rsidR="00975121">
        <w:rPr>
          <w:rFonts w:ascii="Arial" w:hAnsi="Arial" w:cs="Arial"/>
          <w:color w:val="000000" w:themeColor="text1"/>
          <w:sz w:val="22"/>
          <w:szCs w:val="22"/>
        </w:rPr>
        <w:t xml:space="preserve">(p&lt;0.05) </w:t>
      </w:r>
      <w:r w:rsidR="001B4566" w:rsidRPr="00295F63">
        <w:rPr>
          <w:rFonts w:ascii="Arial" w:hAnsi="Arial" w:cs="Arial"/>
          <w:color w:val="000000" w:themeColor="text1"/>
          <w:sz w:val="22"/>
          <w:szCs w:val="22"/>
        </w:rPr>
        <w:t xml:space="preserve">in the left superior </w:t>
      </w:r>
      <w:r w:rsidR="00940E6C">
        <w:rPr>
          <w:rFonts w:ascii="Arial" w:hAnsi="Arial" w:cs="Arial"/>
          <w:color w:val="000000" w:themeColor="text1"/>
          <w:sz w:val="22"/>
          <w:szCs w:val="22"/>
        </w:rPr>
        <w:t>temporal sulcus</w:t>
      </w:r>
      <w:r w:rsidR="001B4566" w:rsidRPr="00295F63">
        <w:rPr>
          <w:rFonts w:ascii="Arial" w:hAnsi="Arial" w:cs="Arial"/>
          <w:color w:val="000000" w:themeColor="text1"/>
          <w:sz w:val="22"/>
          <w:szCs w:val="22"/>
        </w:rPr>
        <w:t xml:space="preserve">, the </w:t>
      </w:r>
      <w:r w:rsidR="00940E6C">
        <w:rPr>
          <w:rFonts w:ascii="Arial" w:hAnsi="Arial" w:cs="Arial"/>
          <w:color w:val="000000" w:themeColor="text1"/>
          <w:sz w:val="22"/>
          <w:szCs w:val="22"/>
        </w:rPr>
        <w:t>cingulate sulcus,</w:t>
      </w:r>
      <w:r w:rsidR="004F58B7" w:rsidRPr="00295F63">
        <w:rPr>
          <w:rFonts w:ascii="Arial" w:hAnsi="Arial" w:cs="Arial"/>
          <w:color w:val="000000" w:themeColor="text1"/>
          <w:sz w:val="22"/>
          <w:szCs w:val="22"/>
        </w:rPr>
        <w:t xml:space="preserve"> extending into the </w:t>
      </w:r>
      <w:r w:rsidR="001B4566" w:rsidRPr="00295F63">
        <w:rPr>
          <w:rFonts w:ascii="Arial" w:hAnsi="Arial" w:cs="Arial"/>
          <w:color w:val="000000" w:themeColor="text1"/>
          <w:sz w:val="22"/>
          <w:szCs w:val="22"/>
        </w:rPr>
        <w:t>medial</w:t>
      </w:r>
      <w:r w:rsidR="00D413A8" w:rsidRPr="00295F63">
        <w:rPr>
          <w:rFonts w:ascii="Arial" w:hAnsi="Arial" w:cs="Arial"/>
          <w:color w:val="000000" w:themeColor="text1"/>
          <w:sz w:val="22"/>
          <w:szCs w:val="22"/>
        </w:rPr>
        <w:t xml:space="preserve"> superior frontal lobe (BA 6/8), and in the right </w:t>
      </w:r>
      <w:r w:rsidR="00753919" w:rsidRPr="00295F63">
        <w:rPr>
          <w:rFonts w:ascii="Arial" w:hAnsi="Arial" w:cs="Arial"/>
          <w:color w:val="000000" w:themeColor="text1"/>
          <w:sz w:val="22"/>
          <w:szCs w:val="22"/>
        </w:rPr>
        <w:t>dorso</w:t>
      </w:r>
      <w:r w:rsidR="001B4566" w:rsidRPr="00295F63">
        <w:rPr>
          <w:rFonts w:ascii="Arial" w:hAnsi="Arial" w:cs="Arial"/>
          <w:color w:val="000000" w:themeColor="text1"/>
          <w:sz w:val="22"/>
          <w:szCs w:val="22"/>
        </w:rPr>
        <w:t>lat</w:t>
      </w:r>
      <w:r w:rsidR="00D413A8" w:rsidRPr="00295F63">
        <w:rPr>
          <w:rFonts w:ascii="Arial" w:hAnsi="Arial" w:cs="Arial"/>
          <w:color w:val="000000" w:themeColor="text1"/>
          <w:sz w:val="22"/>
          <w:szCs w:val="22"/>
        </w:rPr>
        <w:t xml:space="preserve">eral </w:t>
      </w:r>
      <w:r w:rsidR="00940E6C">
        <w:rPr>
          <w:rFonts w:ascii="Arial" w:hAnsi="Arial" w:cs="Arial"/>
          <w:color w:val="000000" w:themeColor="text1"/>
          <w:sz w:val="22"/>
          <w:szCs w:val="22"/>
        </w:rPr>
        <w:t>orbital prefrontal cortex</w:t>
      </w:r>
      <w:r w:rsidR="001B4566" w:rsidRPr="00295F63">
        <w:rPr>
          <w:rFonts w:ascii="Arial" w:hAnsi="Arial" w:cs="Arial"/>
          <w:color w:val="000000" w:themeColor="text1"/>
          <w:sz w:val="22"/>
          <w:szCs w:val="22"/>
        </w:rPr>
        <w:t>. Statistical details for regions of significantly between-gro</w:t>
      </w:r>
      <w:r w:rsidR="00D413A8" w:rsidRPr="00295F63">
        <w:rPr>
          <w:rFonts w:ascii="Arial" w:hAnsi="Arial" w:cs="Arial"/>
          <w:color w:val="000000" w:themeColor="text1"/>
          <w:sz w:val="22"/>
          <w:szCs w:val="22"/>
        </w:rPr>
        <w:t>up d</w:t>
      </w:r>
      <w:r w:rsidR="00657A2E" w:rsidRPr="00295F63">
        <w:rPr>
          <w:rFonts w:ascii="Arial" w:hAnsi="Arial" w:cs="Arial"/>
          <w:color w:val="000000" w:themeColor="text1"/>
          <w:sz w:val="22"/>
          <w:szCs w:val="22"/>
        </w:rPr>
        <w:t>ifferences</w:t>
      </w:r>
      <w:r w:rsidR="00D413A8" w:rsidRPr="00295F63">
        <w:rPr>
          <w:rFonts w:ascii="Arial" w:hAnsi="Arial" w:cs="Arial"/>
          <w:color w:val="000000" w:themeColor="text1"/>
          <w:sz w:val="22"/>
          <w:szCs w:val="22"/>
        </w:rPr>
        <w:t xml:space="preserve"> are listed in Table </w:t>
      </w:r>
      <w:r w:rsidR="0070710F">
        <w:rPr>
          <w:rFonts w:ascii="Arial" w:hAnsi="Arial" w:cs="Arial"/>
          <w:color w:val="000000" w:themeColor="text1"/>
          <w:sz w:val="22"/>
          <w:szCs w:val="22"/>
        </w:rPr>
        <w:t>3</w:t>
      </w:r>
      <w:r w:rsidR="00D413A8" w:rsidRPr="00295F63">
        <w:rPr>
          <w:rFonts w:ascii="Arial" w:hAnsi="Arial" w:cs="Arial"/>
          <w:color w:val="000000" w:themeColor="text1"/>
          <w:sz w:val="22"/>
          <w:szCs w:val="22"/>
        </w:rPr>
        <w:t xml:space="preserve"> and depicted in Figure 1B</w:t>
      </w:r>
      <w:r w:rsidR="001B4566" w:rsidRPr="00295F63">
        <w:rPr>
          <w:rFonts w:ascii="Arial" w:hAnsi="Arial" w:cs="Arial"/>
          <w:color w:val="000000" w:themeColor="text1"/>
          <w:sz w:val="22"/>
          <w:szCs w:val="22"/>
        </w:rPr>
        <w:t>.</w:t>
      </w:r>
      <w:r w:rsidR="00D413A8" w:rsidRPr="00295F63">
        <w:rPr>
          <w:rFonts w:ascii="Arial" w:hAnsi="Arial" w:cs="Arial"/>
          <w:color w:val="000000" w:themeColor="text1"/>
          <w:sz w:val="22"/>
          <w:szCs w:val="22"/>
        </w:rPr>
        <w:t xml:space="preserve"> We did not observe any clusters of significantly increased SA in DID as compared to controls.</w:t>
      </w:r>
    </w:p>
    <w:p w14:paraId="2A3A45CC" w14:textId="77777777" w:rsidR="0026698D" w:rsidRDefault="0026698D" w:rsidP="00A263E5">
      <w:pPr>
        <w:spacing w:line="360" w:lineRule="auto"/>
        <w:rPr>
          <w:rFonts w:ascii="Arial" w:hAnsi="Arial" w:cs="Arial"/>
          <w:b/>
          <w:i/>
          <w:color w:val="000000" w:themeColor="text1"/>
          <w:sz w:val="22"/>
          <w:szCs w:val="22"/>
        </w:rPr>
      </w:pPr>
    </w:p>
    <w:p w14:paraId="18945AEF" w14:textId="4E77F6B5" w:rsidR="001B4566" w:rsidRPr="003F2D78" w:rsidRDefault="001B4566" w:rsidP="00A263E5">
      <w:pPr>
        <w:spacing w:line="360" w:lineRule="auto"/>
        <w:rPr>
          <w:rFonts w:ascii="Arial" w:hAnsi="Arial" w:cs="Arial"/>
          <w:b/>
          <w:i/>
          <w:color w:val="000000" w:themeColor="text1"/>
          <w:sz w:val="22"/>
          <w:szCs w:val="22"/>
        </w:rPr>
      </w:pPr>
      <w:r w:rsidRPr="003F2D78">
        <w:rPr>
          <w:rFonts w:ascii="Arial" w:hAnsi="Arial" w:cs="Arial"/>
          <w:b/>
          <w:i/>
          <w:color w:val="000000" w:themeColor="text1"/>
          <w:sz w:val="22"/>
          <w:szCs w:val="22"/>
        </w:rPr>
        <w:t>Spatial O</w:t>
      </w:r>
      <w:r w:rsidR="00C61CC3">
        <w:rPr>
          <w:rFonts w:ascii="Arial" w:hAnsi="Arial" w:cs="Arial"/>
          <w:b/>
          <w:i/>
          <w:color w:val="000000" w:themeColor="text1"/>
          <w:sz w:val="22"/>
          <w:szCs w:val="22"/>
        </w:rPr>
        <w:t>verlap between Differences in Surface Area and Cortical Thickness</w:t>
      </w:r>
    </w:p>
    <w:p w14:paraId="0E7142AB" w14:textId="74AA7669" w:rsidR="001B4566" w:rsidRPr="00295F63" w:rsidRDefault="006756B0" w:rsidP="00A263E5">
      <w:pPr>
        <w:spacing w:line="360" w:lineRule="auto"/>
        <w:rPr>
          <w:rFonts w:ascii="Arial" w:hAnsi="Arial" w:cs="Arial"/>
          <w:color w:val="000000" w:themeColor="text1"/>
          <w:sz w:val="22"/>
          <w:szCs w:val="22"/>
        </w:rPr>
      </w:pPr>
      <w:r w:rsidRPr="00295F63">
        <w:rPr>
          <w:rFonts w:ascii="Arial" w:hAnsi="Arial" w:cs="Arial"/>
          <w:color w:val="000000" w:themeColor="text1"/>
          <w:sz w:val="22"/>
          <w:szCs w:val="22"/>
        </w:rPr>
        <w:t xml:space="preserve">Table </w:t>
      </w:r>
      <w:r w:rsidR="00735014">
        <w:rPr>
          <w:rFonts w:ascii="Arial" w:hAnsi="Arial" w:cs="Arial"/>
          <w:color w:val="000000" w:themeColor="text1"/>
          <w:sz w:val="22"/>
          <w:szCs w:val="22"/>
        </w:rPr>
        <w:t>4</w:t>
      </w:r>
      <w:r w:rsidRPr="00295F63">
        <w:rPr>
          <w:rFonts w:ascii="Arial" w:hAnsi="Arial" w:cs="Arial"/>
          <w:color w:val="000000" w:themeColor="text1"/>
          <w:sz w:val="22"/>
          <w:szCs w:val="22"/>
        </w:rPr>
        <w:t xml:space="preserve"> lists </w:t>
      </w:r>
      <w:r w:rsidR="00F351EC" w:rsidRPr="00295F63">
        <w:rPr>
          <w:rFonts w:ascii="Arial" w:hAnsi="Arial" w:cs="Arial"/>
          <w:color w:val="000000" w:themeColor="text1"/>
          <w:sz w:val="22"/>
          <w:szCs w:val="22"/>
        </w:rPr>
        <w:t xml:space="preserve">significant </w:t>
      </w:r>
      <w:r w:rsidRPr="00295F63">
        <w:rPr>
          <w:rFonts w:ascii="Arial" w:hAnsi="Arial" w:cs="Arial"/>
          <w:color w:val="000000" w:themeColor="text1"/>
          <w:sz w:val="22"/>
          <w:szCs w:val="22"/>
        </w:rPr>
        <w:t>spatial overlap between differences in CT and SA</w:t>
      </w:r>
      <w:r w:rsidR="00B00016" w:rsidRPr="00295F63">
        <w:rPr>
          <w:rFonts w:ascii="Arial" w:hAnsi="Arial" w:cs="Arial"/>
          <w:color w:val="000000" w:themeColor="text1"/>
          <w:sz w:val="22"/>
          <w:szCs w:val="22"/>
        </w:rPr>
        <w:t xml:space="preserve">, which are </w:t>
      </w:r>
      <w:r w:rsidR="00EF1BBE">
        <w:rPr>
          <w:rFonts w:ascii="Arial" w:hAnsi="Arial" w:cs="Arial"/>
          <w:color w:val="000000" w:themeColor="text1"/>
          <w:sz w:val="22"/>
          <w:szCs w:val="22"/>
        </w:rPr>
        <w:t>presented</w:t>
      </w:r>
      <w:r w:rsidR="00EF1BBE" w:rsidRPr="00295F63">
        <w:rPr>
          <w:rFonts w:ascii="Arial" w:hAnsi="Arial" w:cs="Arial"/>
          <w:color w:val="000000" w:themeColor="text1"/>
          <w:sz w:val="22"/>
          <w:szCs w:val="22"/>
        </w:rPr>
        <w:t xml:space="preserve"> </w:t>
      </w:r>
      <w:r w:rsidR="00B00016" w:rsidRPr="00295F63">
        <w:rPr>
          <w:rFonts w:ascii="Arial" w:hAnsi="Arial" w:cs="Arial"/>
          <w:color w:val="000000" w:themeColor="text1"/>
          <w:sz w:val="22"/>
          <w:szCs w:val="22"/>
        </w:rPr>
        <w:t>in Figure 1C</w:t>
      </w:r>
      <w:r w:rsidRPr="00295F63">
        <w:rPr>
          <w:rFonts w:ascii="Arial" w:hAnsi="Arial" w:cs="Arial"/>
          <w:color w:val="000000" w:themeColor="text1"/>
          <w:sz w:val="22"/>
          <w:szCs w:val="22"/>
        </w:rPr>
        <w:t xml:space="preserve">. </w:t>
      </w:r>
      <w:r w:rsidR="001E5EB0" w:rsidRPr="00295F63">
        <w:rPr>
          <w:rFonts w:ascii="Arial" w:hAnsi="Arial" w:cs="Arial"/>
          <w:color w:val="000000" w:themeColor="text1"/>
          <w:sz w:val="22"/>
          <w:szCs w:val="22"/>
        </w:rPr>
        <w:t>Across both hemispheres</w:t>
      </w:r>
      <w:r w:rsidR="001B4566" w:rsidRPr="00295F63">
        <w:rPr>
          <w:rFonts w:ascii="Arial" w:hAnsi="Arial" w:cs="Arial"/>
          <w:color w:val="000000" w:themeColor="text1"/>
          <w:sz w:val="22"/>
          <w:szCs w:val="22"/>
        </w:rPr>
        <w:t xml:space="preserve"> the largest proportion of all </w:t>
      </w:r>
      <w:r w:rsidR="004560C6" w:rsidRPr="00295F63">
        <w:rPr>
          <w:rFonts w:ascii="Arial" w:hAnsi="Arial" w:cs="Arial"/>
          <w:color w:val="000000" w:themeColor="text1"/>
          <w:sz w:val="22"/>
          <w:szCs w:val="22"/>
        </w:rPr>
        <w:t>between-</w:t>
      </w:r>
      <w:r w:rsidR="004560C6" w:rsidRPr="00295F63">
        <w:rPr>
          <w:rFonts w:ascii="Arial" w:hAnsi="Arial" w:cs="Arial"/>
          <w:color w:val="000000" w:themeColor="text1"/>
          <w:sz w:val="22"/>
          <w:szCs w:val="22"/>
        </w:rPr>
        <w:lastRenderedPageBreak/>
        <w:t>group differences (</w:t>
      </w:r>
      <w:r w:rsidR="001B4566" w:rsidRPr="00295F63">
        <w:rPr>
          <w:rFonts w:ascii="Arial" w:hAnsi="Arial" w:cs="Arial"/>
          <w:color w:val="000000" w:themeColor="text1"/>
          <w:sz w:val="22"/>
          <w:szCs w:val="22"/>
        </w:rPr>
        <w:t xml:space="preserve">either CT or SA or both) </w:t>
      </w:r>
      <w:r w:rsidR="008D1778">
        <w:rPr>
          <w:rFonts w:ascii="Arial" w:hAnsi="Arial" w:cs="Arial"/>
          <w:color w:val="000000" w:themeColor="text1"/>
          <w:sz w:val="22"/>
          <w:szCs w:val="22"/>
        </w:rPr>
        <w:t>resulted from</w:t>
      </w:r>
      <w:r w:rsidR="001B4566" w:rsidRPr="00295F63">
        <w:rPr>
          <w:rFonts w:ascii="Arial" w:hAnsi="Arial" w:cs="Arial"/>
          <w:color w:val="000000" w:themeColor="text1"/>
          <w:sz w:val="22"/>
          <w:szCs w:val="22"/>
        </w:rPr>
        <w:t xml:space="preserve"> differences in CT only (66.80%), while vertices with a significant reduction in SA only </w:t>
      </w:r>
      <w:r w:rsidR="001E5EB0" w:rsidRPr="00295F63">
        <w:rPr>
          <w:rFonts w:ascii="Arial" w:hAnsi="Arial" w:cs="Arial"/>
          <w:color w:val="000000" w:themeColor="text1"/>
          <w:sz w:val="22"/>
          <w:szCs w:val="22"/>
        </w:rPr>
        <w:t>explained about 29.47% overall</w:t>
      </w:r>
      <w:r w:rsidR="001B4566" w:rsidRPr="00295F63">
        <w:rPr>
          <w:rFonts w:ascii="Arial" w:hAnsi="Arial" w:cs="Arial"/>
          <w:color w:val="000000" w:themeColor="text1"/>
          <w:sz w:val="22"/>
          <w:szCs w:val="22"/>
        </w:rPr>
        <w:t>. Thus, there were two times as many differences in C</w:t>
      </w:r>
      <w:r w:rsidRPr="00295F63">
        <w:rPr>
          <w:rFonts w:ascii="Arial" w:hAnsi="Arial" w:cs="Arial"/>
          <w:color w:val="000000" w:themeColor="text1"/>
          <w:sz w:val="22"/>
          <w:szCs w:val="22"/>
        </w:rPr>
        <w:t>T only as there were in SA only</w:t>
      </w:r>
      <w:r w:rsidR="001B4566" w:rsidRPr="00295F63">
        <w:rPr>
          <w:rFonts w:ascii="Arial" w:hAnsi="Arial" w:cs="Arial"/>
          <w:color w:val="000000" w:themeColor="text1"/>
          <w:sz w:val="22"/>
          <w:szCs w:val="22"/>
        </w:rPr>
        <w:t xml:space="preserve"> (66.80% vs. 29.47%, </w:t>
      </w:r>
      <m:oMath>
        <m:sSubSup>
          <m:sSubSupPr>
            <m:ctrlPr>
              <w:rPr>
                <w:rFonts w:ascii="Cambria Math" w:hAnsi="Cambria Math" w:cs="Arial"/>
                <w:i/>
                <w:color w:val="000000" w:themeColor="text1"/>
                <w:sz w:val="22"/>
                <w:szCs w:val="22"/>
              </w:rPr>
            </m:ctrlPr>
          </m:sSubSupPr>
          <m:e>
            <m:r>
              <w:rPr>
                <w:rFonts w:ascii="Cambria Math" w:hAnsi="Cambria Math" w:cs="Arial"/>
                <w:color w:val="000000" w:themeColor="text1"/>
                <w:sz w:val="22"/>
                <w:szCs w:val="22"/>
              </w:rPr>
              <m:t>χ</m:t>
            </m:r>
          </m:e>
          <m:sub>
            <m:r>
              <w:rPr>
                <w:rFonts w:ascii="Cambria Math" w:hAnsi="Cambria Math" w:cs="Arial"/>
                <w:color w:val="000000" w:themeColor="text1"/>
                <w:sz w:val="22"/>
                <w:szCs w:val="22"/>
              </w:rPr>
              <m:t>df=2</m:t>
            </m:r>
          </m:sub>
          <m:sup>
            <m:r>
              <w:rPr>
                <w:rFonts w:ascii="Cambria Math" w:hAnsi="Cambria Math" w:cs="Arial"/>
                <w:color w:val="000000" w:themeColor="text1"/>
                <w:sz w:val="22"/>
                <w:szCs w:val="22"/>
              </w:rPr>
              <m:t>2</m:t>
            </m:r>
          </m:sup>
        </m:sSubSup>
      </m:oMath>
      <w:r w:rsidR="001B4566" w:rsidRPr="00295F63">
        <w:rPr>
          <w:rFonts w:ascii="Arial" w:hAnsi="Arial" w:cs="Arial"/>
          <w:color w:val="000000" w:themeColor="text1"/>
          <w:sz w:val="22"/>
          <w:szCs w:val="22"/>
        </w:rPr>
        <w:t xml:space="preserve"> = 27.45, p&lt;0.001).</w:t>
      </w:r>
    </w:p>
    <w:p w14:paraId="2A17444F" w14:textId="77777777" w:rsidR="001B4566" w:rsidRPr="00295F63" w:rsidRDefault="00914644" w:rsidP="00A263E5">
      <w:pPr>
        <w:spacing w:line="360" w:lineRule="auto"/>
        <w:ind w:firstLine="720"/>
        <w:rPr>
          <w:rFonts w:ascii="Arial" w:hAnsi="Arial" w:cs="Arial"/>
          <w:color w:val="000000" w:themeColor="text1"/>
          <w:sz w:val="22"/>
          <w:szCs w:val="22"/>
        </w:rPr>
      </w:pPr>
      <w:r>
        <w:rPr>
          <w:rFonts w:ascii="Arial" w:hAnsi="Arial" w:cs="Arial"/>
          <w:color w:val="000000" w:themeColor="text1"/>
          <w:sz w:val="22"/>
          <w:szCs w:val="22"/>
        </w:rPr>
        <w:t>T</w:t>
      </w:r>
      <w:r w:rsidR="001B4566" w:rsidRPr="00295F63">
        <w:rPr>
          <w:rFonts w:ascii="Arial" w:hAnsi="Arial" w:cs="Arial"/>
          <w:color w:val="000000" w:themeColor="text1"/>
          <w:sz w:val="22"/>
          <w:szCs w:val="22"/>
        </w:rPr>
        <w:t>he patterns of significant differences in CT and SA were largely non-overlapping and shared only 3.53% of all different spatial locations on the cerebral surface. The probability of any one vertex displaying a</w:t>
      </w:r>
      <w:r>
        <w:rPr>
          <w:rFonts w:ascii="Arial" w:hAnsi="Arial" w:cs="Arial"/>
          <w:color w:val="000000" w:themeColor="text1"/>
          <w:sz w:val="22"/>
          <w:szCs w:val="22"/>
        </w:rPr>
        <w:t xml:space="preserve"> difference in both CT and SA was</w:t>
      </w:r>
      <w:r w:rsidR="001B4566" w:rsidRPr="00295F63">
        <w:rPr>
          <w:rFonts w:ascii="Arial" w:hAnsi="Arial" w:cs="Arial"/>
          <w:color w:val="000000" w:themeColor="text1"/>
          <w:sz w:val="22"/>
          <w:szCs w:val="22"/>
        </w:rPr>
        <w:t xml:space="preserve"> therefore very low. Simulations revealed that the probability of obtaining </w:t>
      </w:r>
      <w:r w:rsidR="006C68CC" w:rsidRPr="00295F63">
        <w:rPr>
          <w:rFonts w:ascii="Arial" w:hAnsi="Arial" w:cs="Arial"/>
          <w:color w:val="000000" w:themeColor="text1"/>
          <w:sz w:val="22"/>
          <w:szCs w:val="22"/>
        </w:rPr>
        <w:t xml:space="preserve">the same degree of overlap of 3.53% </w:t>
      </w:r>
      <w:r w:rsidR="001B4566" w:rsidRPr="00295F63">
        <w:rPr>
          <w:rFonts w:ascii="Arial" w:hAnsi="Arial" w:cs="Arial"/>
          <w:color w:val="000000" w:themeColor="text1"/>
          <w:sz w:val="22"/>
          <w:szCs w:val="22"/>
        </w:rPr>
        <w:t>or lower by chance is &gt;99%. The observed percentage of overlap is hence consistent with the hypothesis that differences in CT and SA are spatially independent, and may contribute in a unique way to between-group differences in CV.</w:t>
      </w:r>
    </w:p>
    <w:p w14:paraId="59A4484A" w14:textId="77777777" w:rsidR="0026698D" w:rsidRDefault="0026698D" w:rsidP="00A263E5">
      <w:pPr>
        <w:spacing w:line="360" w:lineRule="auto"/>
        <w:rPr>
          <w:rFonts w:ascii="Arial" w:hAnsi="Arial" w:cs="Arial"/>
          <w:b/>
          <w:i/>
          <w:color w:val="000000" w:themeColor="text1"/>
          <w:sz w:val="22"/>
          <w:szCs w:val="22"/>
        </w:rPr>
      </w:pPr>
    </w:p>
    <w:p w14:paraId="0E762490" w14:textId="4539D4AC" w:rsidR="001B4566" w:rsidRPr="003F2D78" w:rsidRDefault="001B4566" w:rsidP="00A263E5">
      <w:pPr>
        <w:spacing w:line="360" w:lineRule="auto"/>
        <w:rPr>
          <w:rFonts w:ascii="Arial" w:hAnsi="Arial" w:cs="Arial"/>
          <w:b/>
          <w:i/>
          <w:color w:val="000000" w:themeColor="text1"/>
          <w:sz w:val="22"/>
          <w:szCs w:val="22"/>
        </w:rPr>
      </w:pPr>
      <w:r w:rsidRPr="003F2D78">
        <w:rPr>
          <w:rFonts w:ascii="Arial" w:hAnsi="Arial" w:cs="Arial"/>
          <w:b/>
          <w:i/>
          <w:color w:val="000000" w:themeColor="text1"/>
          <w:sz w:val="22"/>
          <w:szCs w:val="22"/>
        </w:rPr>
        <w:t>Between-group differences in vertex-wis</w:t>
      </w:r>
      <w:r w:rsidR="005F273F">
        <w:rPr>
          <w:rFonts w:ascii="Arial" w:hAnsi="Arial" w:cs="Arial"/>
          <w:b/>
          <w:i/>
          <w:color w:val="000000" w:themeColor="text1"/>
          <w:sz w:val="22"/>
          <w:szCs w:val="22"/>
        </w:rPr>
        <w:t>e estimates of Cortical V</w:t>
      </w:r>
      <w:r w:rsidR="00C61CC3">
        <w:rPr>
          <w:rFonts w:ascii="Arial" w:hAnsi="Arial" w:cs="Arial"/>
          <w:b/>
          <w:i/>
          <w:color w:val="000000" w:themeColor="text1"/>
          <w:sz w:val="22"/>
          <w:szCs w:val="22"/>
        </w:rPr>
        <w:t>olume</w:t>
      </w:r>
    </w:p>
    <w:p w14:paraId="65656E72" w14:textId="4A8D86B7" w:rsidR="001B4566" w:rsidRPr="00295F63" w:rsidRDefault="0086356D" w:rsidP="00A263E5">
      <w:pPr>
        <w:spacing w:line="360" w:lineRule="auto"/>
        <w:rPr>
          <w:rFonts w:ascii="Arial" w:hAnsi="Arial" w:cs="Arial"/>
          <w:color w:val="000000" w:themeColor="text1"/>
          <w:sz w:val="22"/>
          <w:szCs w:val="22"/>
        </w:rPr>
      </w:pPr>
      <w:r>
        <w:rPr>
          <w:rFonts w:ascii="Arial" w:hAnsi="Arial" w:cs="Arial"/>
          <w:color w:val="000000" w:themeColor="text1"/>
          <w:sz w:val="22"/>
          <w:szCs w:val="22"/>
        </w:rPr>
        <w:t>I</w:t>
      </w:r>
      <w:r w:rsidR="001B4566" w:rsidRPr="00295F63">
        <w:rPr>
          <w:rFonts w:ascii="Arial" w:hAnsi="Arial" w:cs="Arial"/>
          <w:color w:val="000000" w:themeColor="text1"/>
          <w:sz w:val="22"/>
          <w:szCs w:val="22"/>
        </w:rPr>
        <w:t xml:space="preserve">ndividuals with </w:t>
      </w:r>
      <w:r w:rsidR="009B5B7C" w:rsidRPr="00295F63">
        <w:rPr>
          <w:rFonts w:ascii="Arial" w:hAnsi="Arial" w:cs="Arial"/>
          <w:color w:val="000000" w:themeColor="text1"/>
          <w:sz w:val="22"/>
          <w:szCs w:val="22"/>
        </w:rPr>
        <w:t xml:space="preserve">DID </w:t>
      </w:r>
      <w:r w:rsidR="001B4566" w:rsidRPr="00295F63">
        <w:rPr>
          <w:rFonts w:ascii="Arial" w:hAnsi="Arial" w:cs="Arial"/>
          <w:color w:val="000000" w:themeColor="text1"/>
          <w:sz w:val="22"/>
          <w:szCs w:val="22"/>
        </w:rPr>
        <w:t xml:space="preserve">had extensive volumetric reductions </w:t>
      </w:r>
      <w:r w:rsidR="00975121">
        <w:rPr>
          <w:rFonts w:ascii="Arial" w:hAnsi="Arial" w:cs="Arial"/>
          <w:color w:val="000000" w:themeColor="text1"/>
          <w:sz w:val="22"/>
          <w:szCs w:val="22"/>
        </w:rPr>
        <w:t xml:space="preserve">(p&lt;0.05) </w:t>
      </w:r>
      <w:r w:rsidR="001B4566" w:rsidRPr="00295F63">
        <w:rPr>
          <w:rFonts w:ascii="Arial" w:hAnsi="Arial" w:cs="Arial"/>
          <w:color w:val="000000" w:themeColor="text1"/>
          <w:sz w:val="22"/>
          <w:szCs w:val="22"/>
        </w:rPr>
        <w:t>in regional grey matter a</w:t>
      </w:r>
      <w:r w:rsidR="00B00016" w:rsidRPr="00295F63">
        <w:rPr>
          <w:rFonts w:ascii="Arial" w:hAnsi="Arial" w:cs="Arial"/>
          <w:color w:val="000000" w:themeColor="text1"/>
          <w:sz w:val="22"/>
          <w:szCs w:val="22"/>
        </w:rPr>
        <w:t>cross the cerebral hemispheres</w:t>
      </w:r>
      <w:r>
        <w:rPr>
          <w:rFonts w:ascii="Arial" w:hAnsi="Arial" w:cs="Arial"/>
          <w:color w:val="000000" w:themeColor="text1"/>
          <w:sz w:val="22"/>
          <w:szCs w:val="22"/>
        </w:rPr>
        <w:t xml:space="preserve"> (see </w:t>
      </w:r>
      <w:r w:rsidR="00B00016" w:rsidRPr="00295F63">
        <w:rPr>
          <w:rFonts w:ascii="Arial" w:hAnsi="Arial" w:cs="Arial"/>
          <w:color w:val="000000" w:themeColor="text1"/>
          <w:sz w:val="22"/>
          <w:szCs w:val="22"/>
        </w:rPr>
        <w:t xml:space="preserve">Table </w:t>
      </w:r>
      <w:r w:rsidR="0070710F">
        <w:rPr>
          <w:rFonts w:ascii="Arial" w:hAnsi="Arial" w:cs="Arial"/>
          <w:color w:val="000000" w:themeColor="text1"/>
          <w:sz w:val="22"/>
          <w:szCs w:val="22"/>
        </w:rPr>
        <w:t>3</w:t>
      </w:r>
      <w:r w:rsidR="00B00016" w:rsidRPr="00295F63">
        <w:rPr>
          <w:rFonts w:ascii="Arial" w:hAnsi="Arial" w:cs="Arial"/>
          <w:color w:val="000000" w:themeColor="text1"/>
          <w:sz w:val="22"/>
          <w:szCs w:val="22"/>
        </w:rPr>
        <w:t xml:space="preserve"> and Figure 2A</w:t>
      </w:r>
      <w:r>
        <w:rPr>
          <w:rFonts w:ascii="Arial" w:hAnsi="Arial" w:cs="Arial"/>
          <w:color w:val="000000" w:themeColor="text1"/>
          <w:sz w:val="22"/>
          <w:szCs w:val="22"/>
        </w:rPr>
        <w:t>)</w:t>
      </w:r>
      <w:r w:rsidR="001B4566" w:rsidRPr="00295F63">
        <w:rPr>
          <w:rFonts w:ascii="Arial" w:hAnsi="Arial" w:cs="Arial"/>
          <w:color w:val="000000" w:themeColor="text1"/>
          <w:sz w:val="22"/>
          <w:szCs w:val="22"/>
        </w:rPr>
        <w:t xml:space="preserve">. Significant clusters of between-group differences in </w:t>
      </w:r>
      <w:r w:rsidR="005F273F">
        <w:rPr>
          <w:rFonts w:ascii="Arial" w:hAnsi="Arial" w:cs="Arial"/>
          <w:color w:val="000000" w:themeColor="text1"/>
          <w:sz w:val="22"/>
          <w:szCs w:val="22"/>
        </w:rPr>
        <w:t>cortical volume (</w:t>
      </w:r>
      <w:r w:rsidR="001B4566" w:rsidRPr="00295F63">
        <w:rPr>
          <w:rFonts w:ascii="Arial" w:hAnsi="Arial" w:cs="Arial"/>
          <w:color w:val="000000" w:themeColor="text1"/>
          <w:sz w:val="22"/>
          <w:szCs w:val="22"/>
        </w:rPr>
        <w:t>CV</w:t>
      </w:r>
      <w:r w:rsidR="005F273F">
        <w:rPr>
          <w:rFonts w:ascii="Arial" w:hAnsi="Arial" w:cs="Arial"/>
          <w:color w:val="000000" w:themeColor="text1"/>
          <w:sz w:val="22"/>
          <w:szCs w:val="22"/>
        </w:rPr>
        <w:t>)</w:t>
      </w:r>
      <w:r w:rsidR="001B4566" w:rsidRPr="00295F63">
        <w:rPr>
          <w:rFonts w:ascii="Arial" w:hAnsi="Arial" w:cs="Arial"/>
          <w:color w:val="000000" w:themeColor="text1"/>
          <w:sz w:val="22"/>
          <w:szCs w:val="22"/>
        </w:rPr>
        <w:t xml:space="preserve"> were found in (1</w:t>
      </w:r>
      <w:r w:rsidR="00753919" w:rsidRPr="00295F63">
        <w:rPr>
          <w:rFonts w:ascii="Arial" w:hAnsi="Arial" w:cs="Arial"/>
          <w:color w:val="000000" w:themeColor="text1"/>
          <w:sz w:val="22"/>
          <w:szCs w:val="22"/>
        </w:rPr>
        <w:t xml:space="preserve"> and 2</w:t>
      </w:r>
      <w:r w:rsidR="001B4566" w:rsidRPr="00295F63">
        <w:rPr>
          <w:rFonts w:ascii="Arial" w:hAnsi="Arial" w:cs="Arial"/>
          <w:color w:val="000000" w:themeColor="text1"/>
          <w:sz w:val="22"/>
          <w:szCs w:val="22"/>
        </w:rPr>
        <w:t xml:space="preserve">) the left and right </w:t>
      </w:r>
      <w:r w:rsidR="00213E2D">
        <w:rPr>
          <w:rFonts w:ascii="Arial" w:hAnsi="Arial" w:cs="Arial"/>
          <w:color w:val="000000" w:themeColor="text1"/>
          <w:sz w:val="22"/>
          <w:szCs w:val="22"/>
        </w:rPr>
        <w:t>insula</w:t>
      </w:r>
      <w:r w:rsidR="00753919" w:rsidRPr="00295F63">
        <w:rPr>
          <w:rFonts w:ascii="Arial" w:hAnsi="Arial" w:cs="Arial"/>
          <w:color w:val="000000" w:themeColor="text1"/>
          <w:sz w:val="22"/>
          <w:szCs w:val="22"/>
        </w:rPr>
        <w:t xml:space="preserve"> extending to the dorso</w:t>
      </w:r>
      <w:r w:rsidR="001B4566" w:rsidRPr="00295F63">
        <w:rPr>
          <w:rFonts w:ascii="Arial" w:hAnsi="Arial" w:cs="Arial"/>
          <w:color w:val="000000" w:themeColor="text1"/>
          <w:sz w:val="22"/>
          <w:szCs w:val="22"/>
        </w:rPr>
        <w:t xml:space="preserve">lateral and orbitofrontal prefrontal cortex (BA </w:t>
      </w:r>
      <w:r w:rsidR="00C7613F" w:rsidRPr="00295F63">
        <w:rPr>
          <w:rFonts w:ascii="Arial" w:hAnsi="Arial" w:cs="Arial"/>
          <w:color w:val="000000" w:themeColor="text1"/>
          <w:sz w:val="22"/>
          <w:szCs w:val="22"/>
        </w:rPr>
        <w:t>11/45/47), (3</w:t>
      </w:r>
      <w:r w:rsidR="001B4566" w:rsidRPr="00295F63">
        <w:rPr>
          <w:rFonts w:ascii="Arial" w:hAnsi="Arial" w:cs="Arial"/>
          <w:color w:val="000000" w:themeColor="text1"/>
          <w:sz w:val="22"/>
          <w:szCs w:val="22"/>
        </w:rPr>
        <w:t xml:space="preserve">) </w:t>
      </w:r>
      <w:r w:rsidR="00C7613F" w:rsidRPr="00295F63">
        <w:rPr>
          <w:rFonts w:ascii="Arial" w:hAnsi="Arial" w:cs="Arial"/>
          <w:color w:val="000000" w:themeColor="text1"/>
          <w:sz w:val="22"/>
          <w:szCs w:val="22"/>
        </w:rPr>
        <w:t xml:space="preserve">the </w:t>
      </w:r>
      <w:r w:rsidR="001B4566" w:rsidRPr="00295F63">
        <w:rPr>
          <w:rFonts w:ascii="Arial" w:hAnsi="Arial" w:cs="Arial"/>
          <w:color w:val="000000" w:themeColor="text1"/>
          <w:sz w:val="22"/>
          <w:szCs w:val="22"/>
        </w:rPr>
        <w:t xml:space="preserve">left superior and </w:t>
      </w:r>
      <w:r w:rsidR="00C7613F" w:rsidRPr="00295F63">
        <w:rPr>
          <w:rFonts w:ascii="Arial" w:hAnsi="Arial" w:cs="Arial"/>
          <w:color w:val="000000" w:themeColor="text1"/>
          <w:sz w:val="22"/>
          <w:szCs w:val="22"/>
        </w:rPr>
        <w:t>i</w:t>
      </w:r>
      <w:r w:rsidR="00213E2D">
        <w:rPr>
          <w:rFonts w:ascii="Arial" w:hAnsi="Arial" w:cs="Arial"/>
          <w:color w:val="000000" w:themeColor="text1"/>
          <w:sz w:val="22"/>
          <w:szCs w:val="22"/>
        </w:rPr>
        <w:t>nferior temporal lobe</w:t>
      </w:r>
      <w:r w:rsidR="00C7613F" w:rsidRPr="00295F63">
        <w:rPr>
          <w:rFonts w:ascii="Arial" w:hAnsi="Arial" w:cs="Arial"/>
          <w:color w:val="000000" w:themeColor="text1"/>
          <w:sz w:val="22"/>
          <w:szCs w:val="22"/>
        </w:rPr>
        <w:t>, (4</w:t>
      </w:r>
      <w:r w:rsidR="001B4566" w:rsidRPr="00295F63">
        <w:rPr>
          <w:rFonts w:ascii="Arial" w:hAnsi="Arial" w:cs="Arial"/>
          <w:color w:val="000000" w:themeColor="text1"/>
          <w:sz w:val="22"/>
          <w:szCs w:val="22"/>
        </w:rPr>
        <w:t xml:space="preserve">) </w:t>
      </w:r>
      <w:r w:rsidR="00C7613F" w:rsidRPr="00295F63">
        <w:rPr>
          <w:rFonts w:ascii="Arial" w:hAnsi="Arial" w:cs="Arial"/>
          <w:color w:val="000000" w:themeColor="text1"/>
          <w:sz w:val="22"/>
          <w:szCs w:val="22"/>
        </w:rPr>
        <w:t>t</w:t>
      </w:r>
      <w:r w:rsidR="00213E2D">
        <w:rPr>
          <w:rFonts w:ascii="Arial" w:hAnsi="Arial" w:cs="Arial"/>
          <w:color w:val="000000" w:themeColor="text1"/>
          <w:sz w:val="22"/>
          <w:szCs w:val="22"/>
        </w:rPr>
        <w:t>he left cingulate sulcus</w:t>
      </w:r>
      <w:r w:rsidR="00C7613F" w:rsidRPr="00295F63">
        <w:rPr>
          <w:rFonts w:ascii="Arial" w:hAnsi="Arial" w:cs="Arial"/>
          <w:color w:val="000000" w:themeColor="text1"/>
          <w:sz w:val="22"/>
          <w:szCs w:val="22"/>
        </w:rPr>
        <w:t>, (5) the right</w:t>
      </w:r>
      <w:r w:rsidR="001B4566" w:rsidRPr="00295F63">
        <w:rPr>
          <w:rFonts w:ascii="Arial" w:hAnsi="Arial" w:cs="Arial"/>
          <w:color w:val="000000" w:themeColor="text1"/>
          <w:sz w:val="22"/>
          <w:szCs w:val="22"/>
        </w:rPr>
        <w:t xml:space="preserve"> medial supe</w:t>
      </w:r>
      <w:r w:rsidR="00C7613F" w:rsidRPr="00295F63">
        <w:rPr>
          <w:rFonts w:ascii="Arial" w:hAnsi="Arial" w:cs="Arial"/>
          <w:color w:val="000000" w:themeColor="text1"/>
          <w:sz w:val="22"/>
          <w:szCs w:val="22"/>
        </w:rPr>
        <w:t>ri</w:t>
      </w:r>
      <w:r w:rsidR="00586B60">
        <w:rPr>
          <w:rFonts w:ascii="Arial" w:hAnsi="Arial" w:cs="Arial"/>
          <w:color w:val="000000" w:themeColor="text1"/>
          <w:sz w:val="22"/>
          <w:szCs w:val="22"/>
        </w:rPr>
        <w:t>or frontal cortex</w:t>
      </w:r>
      <w:r w:rsidR="00C7613F" w:rsidRPr="00295F63">
        <w:rPr>
          <w:rFonts w:ascii="Arial" w:hAnsi="Arial" w:cs="Arial"/>
          <w:color w:val="000000" w:themeColor="text1"/>
          <w:sz w:val="22"/>
          <w:szCs w:val="22"/>
        </w:rPr>
        <w:t>, (6</w:t>
      </w:r>
      <w:r w:rsidR="001B4566" w:rsidRPr="00295F63">
        <w:rPr>
          <w:rFonts w:ascii="Arial" w:hAnsi="Arial" w:cs="Arial"/>
          <w:color w:val="000000" w:themeColor="text1"/>
          <w:sz w:val="22"/>
          <w:szCs w:val="22"/>
        </w:rPr>
        <w:t>) the le</w:t>
      </w:r>
      <w:r w:rsidR="00586B60">
        <w:rPr>
          <w:rFonts w:ascii="Arial" w:hAnsi="Arial" w:cs="Arial"/>
          <w:color w:val="000000" w:themeColor="text1"/>
          <w:sz w:val="22"/>
          <w:szCs w:val="22"/>
        </w:rPr>
        <w:t>ft post-central gyrus</w:t>
      </w:r>
      <w:r w:rsidR="00C7613F" w:rsidRPr="00295F63">
        <w:rPr>
          <w:rFonts w:ascii="Arial" w:hAnsi="Arial" w:cs="Arial"/>
          <w:color w:val="000000" w:themeColor="text1"/>
          <w:sz w:val="22"/>
          <w:szCs w:val="22"/>
        </w:rPr>
        <w:t>, (7</w:t>
      </w:r>
      <w:r w:rsidR="001B4566" w:rsidRPr="00295F63">
        <w:rPr>
          <w:rFonts w:ascii="Arial" w:hAnsi="Arial" w:cs="Arial"/>
          <w:color w:val="000000" w:themeColor="text1"/>
          <w:sz w:val="22"/>
          <w:szCs w:val="22"/>
        </w:rPr>
        <w:t xml:space="preserve">) the </w:t>
      </w:r>
      <w:r w:rsidR="00C7613F" w:rsidRPr="00295F63">
        <w:rPr>
          <w:rFonts w:ascii="Arial" w:hAnsi="Arial" w:cs="Arial"/>
          <w:color w:val="000000" w:themeColor="text1"/>
          <w:sz w:val="22"/>
          <w:szCs w:val="22"/>
        </w:rPr>
        <w:t xml:space="preserve">right </w:t>
      </w:r>
      <w:r w:rsidR="001B4566" w:rsidRPr="00295F63">
        <w:rPr>
          <w:rFonts w:ascii="Arial" w:hAnsi="Arial" w:cs="Arial"/>
          <w:color w:val="000000" w:themeColor="text1"/>
          <w:sz w:val="22"/>
          <w:szCs w:val="22"/>
        </w:rPr>
        <w:t xml:space="preserve">anterior </w:t>
      </w:r>
      <w:r w:rsidR="00586B60">
        <w:rPr>
          <w:rFonts w:ascii="Arial" w:hAnsi="Arial" w:cs="Arial"/>
          <w:color w:val="000000" w:themeColor="text1"/>
          <w:sz w:val="22"/>
          <w:szCs w:val="22"/>
        </w:rPr>
        <w:t>cingulate cortex</w:t>
      </w:r>
      <w:r w:rsidR="00C7613F" w:rsidRPr="00295F63">
        <w:rPr>
          <w:rFonts w:ascii="Arial" w:hAnsi="Arial" w:cs="Arial"/>
          <w:color w:val="000000" w:themeColor="text1"/>
          <w:sz w:val="22"/>
          <w:szCs w:val="22"/>
        </w:rPr>
        <w:t xml:space="preserve">, and (8) </w:t>
      </w:r>
      <w:r w:rsidR="001B4566" w:rsidRPr="00295F63">
        <w:rPr>
          <w:rFonts w:ascii="Arial" w:hAnsi="Arial" w:cs="Arial"/>
          <w:color w:val="000000" w:themeColor="text1"/>
          <w:sz w:val="22"/>
          <w:szCs w:val="22"/>
        </w:rPr>
        <w:t>the</w:t>
      </w:r>
      <w:r w:rsidR="00586B60">
        <w:rPr>
          <w:rFonts w:ascii="Arial" w:hAnsi="Arial" w:cs="Arial"/>
          <w:color w:val="000000" w:themeColor="text1"/>
          <w:sz w:val="22"/>
          <w:szCs w:val="22"/>
        </w:rPr>
        <w:t xml:space="preserve"> right fusiform gyrus</w:t>
      </w:r>
      <w:r w:rsidR="001B4566" w:rsidRPr="00295F63">
        <w:rPr>
          <w:rFonts w:ascii="Arial" w:hAnsi="Arial" w:cs="Arial"/>
          <w:color w:val="000000" w:themeColor="text1"/>
          <w:sz w:val="22"/>
          <w:szCs w:val="22"/>
        </w:rPr>
        <w:t xml:space="preserve">. </w:t>
      </w:r>
      <w:bookmarkStart w:id="6" w:name="OLE_LINK18"/>
      <w:bookmarkStart w:id="7" w:name="OLE_LINK19"/>
      <w:r w:rsidR="001B4566" w:rsidRPr="00295F63">
        <w:rPr>
          <w:rFonts w:ascii="Arial" w:hAnsi="Arial" w:cs="Arial"/>
          <w:color w:val="000000" w:themeColor="text1"/>
          <w:sz w:val="22"/>
          <w:szCs w:val="22"/>
        </w:rPr>
        <w:t>There we</w:t>
      </w:r>
      <w:r w:rsidR="00F85F48" w:rsidRPr="00295F63">
        <w:rPr>
          <w:rFonts w:ascii="Arial" w:hAnsi="Arial" w:cs="Arial"/>
          <w:color w:val="000000" w:themeColor="text1"/>
          <w:sz w:val="22"/>
          <w:szCs w:val="22"/>
        </w:rPr>
        <w:t>re</w:t>
      </w:r>
      <w:r w:rsidR="001B4566" w:rsidRPr="00295F63">
        <w:rPr>
          <w:rFonts w:ascii="Arial" w:hAnsi="Arial" w:cs="Arial"/>
          <w:color w:val="000000" w:themeColor="text1"/>
          <w:sz w:val="22"/>
          <w:szCs w:val="22"/>
        </w:rPr>
        <w:t xml:space="preserve"> no clusters of significantly increased </w:t>
      </w:r>
      <w:r w:rsidR="009B5B7C" w:rsidRPr="00295F63">
        <w:rPr>
          <w:rFonts w:ascii="Arial" w:hAnsi="Arial" w:cs="Arial"/>
          <w:color w:val="000000" w:themeColor="text1"/>
          <w:sz w:val="22"/>
          <w:szCs w:val="22"/>
        </w:rPr>
        <w:t xml:space="preserve">CV </w:t>
      </w:r>
      <w:r w:rsidR="001B4566" w:rsidRPr="00295F63">
        <w:rPr>
          <w:rFonts w:ascii="Arial" w:hAnsi="Arial" w:cs="Arial"/>
          <w:color w:val="000000" w:themeColor="text1"/>
          <w:sz w:val="22"/>
          <w:szCs w:val="22"/>
        </w:rPr>
        <w:t xml:space="preserve">in DID as compared </w:t>
      </w:r>
      <w:r w:rsidR="00D673AF" w:rsidRPr="00295F63">
        <w:rPr>
          <w:rFonts w:ascii="Arial" w:hAnsi="Arial" w:cs="Arial"/>
          <w:color w:val="000000" w:themeColor="text1"/>
          <w:sz w:val="22"/>
          <w:szCs w:val="22"/>
        </w:rPr>
        <w:t>to controls</w:t>
      </w:r>
      <w:r w:rsidR="001B4566" w:rsidRPr="00295F63">
        <w:rPr>
          <w:rFonts w:ascii="Arial" w:hAnsi="Arial" w:cs="Arial"/>
          <w:color w:val="000000" w:themeColor="text1"/>
          <w:sz w:val="22"/>
          <w:szCs w:val="22"/>
        </w:rPr>
        <w:t xml:space="preserve">. </w:t>
      </w:r>
      <w:bookmarkEnd w:id="6"/>
      <w:bookmarkEnd w:id="7"/>
    </w:p>
    <w:p w14:paraId="7F4AE5D9" w14:textId="77777777" w:rsidR="0026698D" w:rsidRDefault="0026698D" w:rsidP="00A263E5">
      <w:pPr>
        <w:spacing w:line="360" w:lineRule="auto"/>
        <w:rPr>
          <w:rFonts w:ascii="Arial" w:hAnsi="Arial" w:cs="Arial"/>
          <w:b/>
          <w:i/>
          <w:color w:val="000000" w:themeColor="text1"/>
          <w:sz w:val="22"/>
          <w:szCs w:val="22"/>
        </w:rPr>
      </w:pPr>
    </w:p>
    <w:p w14:paraId="7760BF3F" w14:textId="44843666" w:rsidR="001B4566" w:rsidRPr="003F2D78" w:rsidRDefault="00C61CC3" w:rsidP="00A263E5">
      <w:pPr>
        <w:spacing w:line="360" w:lineRule="auto"/>
        <w:rPr>
          <w:rFonts w:ascii="Arial" w:hAnsi="Arial" w:cs="Arial"/>
          <w:b/>
          <w:i/>
          <w:color w:val="000000" w:themeColor="text1"/>
          <w:sz w:val="22"/>
          <w:szCs w:val="22"/>
        </w:rPr>
      </w:pPr>
      <w:r>
        <w:rPr>
          <w:rFonts w:ascii="Arial" w:hAnsi="Arial" w:cs="Arial"/>
          <w:b/>
          <w:i/>
          <w:color w:val="000000" w:themeColor="text1"/>
          <w:sz w:val="22"/>
          <w:szCs w:val="22"/>
        </w:rPr>
        <w:t>Contribution of Cortical Thickness and Surface Area</w:t>
      </w:r>
      <w:r w:rsidR="005B5E5D">
        <w:rPr>
          <w:rFonts w:ascii="Arial" w:hAnsi="Arial" w:cs="Arial"/>
          <w:b/>
          <w:i/>
          <w:color w:val="000000" w:themeColor="text1"/>
          <w:sz w:val="22"/>
          <w:szCs w:val="22"/>
        </w:rPr>
        <w:t xml:space="preserve"> to V</w:t>
      </w:r>
      <w:r w:rsidR="001B4566" w:rsidRPr="003F2D78">
        <w:rPr>
          <w:rFonts w:ascii="Arial" w:hAnsi="Arial" w:cs="Arial"/>
          <w:b/>
          <w:i/>
          <w:color w:val="000000" w:themeColor="text1"/>
          <w:sz w:val="22"/>
          <w:szCs w:val="22"/>
        </w:rPr>
        <w:t>olumetric differences</w:t>
      </w:r>
    </w:p>
    <w:p w14:paraId="5595D92F" w14:textId="3275FBF7" w:rsidR="00F60D58" w:rsidRPr="00295F63" w:rsidRDefault="00E8128B" w:rsidP="00A65780">
      <w:pPr>
        <w:spacing w:line="360" w:lineRule="auto"/>
        <w:rPr>
          <w:rFonts w:ascii="Arial" w:hAnsi="Arial" w:cs="Arial"/>
          <w:color w:val="000000" w:themeColor="text1"/>
          <w:sz w:val="22"/>
          <w:szCs w:val="22"/>
        </w:rPr>
      </w:pPr>
      <w:r>
        <w:rPr>
          <w:rFonts w:ascii="Arial" w:hAnsi="Arial" w:cs="Arial"/>
          <w:color w:val="000000" w:themeColor="text1"/>
          <w:sz w:val="22"/>
          <w:szCs w:val="22"/>
        </w:rPr>
        <w:t>O</w:t>
      </w:r>
      <w:r w:rsidR="001B4566" w:rsidRPr="00295F63">
        <w:rPr>
          <w:rFonts w:ascii="Arial" w:hAnsi="Arial" w:cs="Arial"/>
          <w:color w:val="000000" w:themeColor="text1"/>
          <w:sz w:val="22"/>
          <w:szCs w:val="22"/>
        </w:rPr>
        <w:t>nly 44.05% of the difference</w:t>
      </w:r>
      <w:r w:rsidR="0068733E" w:rsidRPr="00295F63">
        <w:rPr>
          <w:rFonts w:ascii="Arial" w:hAnsi="Arial" w:cs="Arial"/>
          <w:color w:val="000000" w:themeColor="text1"/>
          <w:sz w:val="22"/>
          <w:szCs w:val="22"/>
        </w:rPr>
        <w:t>s in CV could be explained</w:t>
      </w:r>
      <w:r w:rsidR="008C6498" w:rsidRPr="00295F63">
        <w:rPr>
          <w:rFonts w:ascii="Arial" w:hAnsi="Arial" w:cs="Arial"/>
          <w:color w:val="000000" w:themeColor="text1"/>
          <w:sz w:val="22"/>
          <w:szCs w:val="22"/>
        </w:rPr>
        <w:t xml:space="preserve"> </w:t>
      </w:r>
      <w:r w:rsidR="001B4566" w:rsidRPr="00295F63">
        <w:rPr>
          <w:rFonts w:ascii="Arial" w:hAnsi="Arial" w:cs="Arial"/>
          <w:color w:val="000000" w:themeColor="text1"/>
          <w:sz w:val="22"/>
          <w:szCs w:val="22"/>
        </w:rPr>
        <w:t>by significant differences in CT, SA, or both</w:t>
      </w:r>
      <w:r w:rsidR="000E16D5">
        <w:rPr>
          <w:rFonts w:ascii="Arial" w:hAnsi="Arial" w:cs="Arial"/>
          <w:color w:val="000000" w:themeColor="text1"/>
          <w:sz w:val="22"/>
          <w:szCs w:val="22"/>
        </w:rPr>
        <w:t xml:space="preserve"> (see </w:t>
      </w:r>
      <w:r w:rsidR="0068733E" w:rsidRPr="00295F63">
        <w:rPr>
          <w:rFonts w:ascii="Arial" w:hAnsi="Arial" w:cs="Arial"/>
          <w:color w:val="000000" w:themeColor="text1"/>
          <w:sz w:val="22"/>
          <w:szCs w:val="22"/>
        </w:rPr>
        <w:t xml:space="preserve">Table </w:t>
      </w:r>
      <w:r w:rsidR="0070710F">
        <w:rPr>
          <w:rFonts w:ascii="Arial" w:hAnsi="Arial" w:cs="Arial"/>
          <w:color w:val="000000" w:themeColor="text1"/>
          <w:sz w:val="22"/>
          <w:szCs w:val="22"/>
        </w:rPr>
        <w:t>4</w:t>
      </w:r>
      <w:r w:rsidR="0068733E" w:rsidRPr="00295F63">
        <w:rPr>
          <w:rFonts w:ascii="Arial" w:hAnsi="Arial" w:cs="Arial"/>
          <w:color w:val="000000" w:themeColor="text1"/>
          <w:sz w:val="22"/>
          <w:szCs w:val="22"/>
        </w:rPr>
        <w:t xml:space="preserve"> and Figure 2B</w:t>
      </w:r>
      <w:r w:rsidR="000E16D5">
        <w:rPr>
          <w:rFonts w:ascii="Arial" w:hAnsi="Arial" w:cs="Arial"/>
          <w:color w:val="000000" w:themeColor="text1"/>
          <w:sz w:val="22"/>
          <w:szCs w:val="22"/>
        </w:rPr>
        <w:t>)</w:t>
      </w:r>
      <w:r w:rsidR="001B4566" w:rsidRPr="00295F63">
        <w:rPr>
          <w:rFonts w:ascii="Arial" w:hAnsi="Arial" w:cs="Arial"/>
          <w:color w:val="000000" w:themeColor="text1"/>
          <w:sz w:val="22"/>
          <w:szCs w:val="22"/>
        </w:rPr>
        <w:t xml:space="preserve">. There was also no statistical difference between the contribution of CT (24.45%) and SA differences (17.35%) to the observed differences in CV. The </w:t>
      </w:r>
      <w:r w:rsidR="00C07E6A" w:rsidRPr="00295F63">
        <w:rPr>
          <w:rFonts w:ascii="Arial" w:hAnsi="Arial" w:cs="Arial"/>
          <w:color w:val="000000" w:themeColor="text1"/>
          <w:sz w:val="22"/>
          <w:szCs w:val="22"/>
        </w:rPr>
        <w:t>remaining</w:t>
      </w:r>
      <w:r w:rsidR="0068733E" w:rsidRPr="00295F63">
        <w:rPr>
          <w:rFonts w:ascii="Arial" w:hAnsi="Arial" w:cs="Arial"/>
          <w:color w:val="000000" w:themeColor="text1"/>
          <w:sz w:val="22"/>
          <w:szCs w:val="22"/>
        </w:rPr>
        <w:t xml:space="preserve"> differences in CV (</w:t>
      </w:r>
      <w:r w:rsidR="001B4566" w:rsidRPr="00295F63">
        <w:rPr>
          <w:rFonts w:ascii="Arial" w:hAnsi="Arial" w:cs="Arial"/>
          <w:color w:val="000000" w:themeColor="text1"/>
          <w:sz w:val="22"/>
          <w:szCs w:val="22"/>
        </w:rPr>
        <w:t>55.94%) could not be explained by differences in either SA o</w:t>
      </w:r>
      <w:r w:rsidR="0068733E" w:rsidRPr="00295F63">
        <w:rPr>
          <w:rFonts w:ascii="Arial" w:hAnsi="Arial" w:cs="Arial"/>
          <w:color w:val="000000" w:themeColor="text1"/>
          <w:sz w:val="22"/>
          <w:szCs w:val="22"/>
        </w:rPr>
        <w:t>r CT or both</w:t>
      </w:r>
      <w:r w:rsidR="001B4566" w:rsidRPr="00295F63">
        <w:rPr>
          <w:rFonts w:ascii="Arial" w:hAnsi="Arial" w:cs="Arial"/>
          <w:color w:val="000000" w:themeColor="text1"/>
          <w:sz w:val="22"/>
          <w:szCs w:val="22"/>
        </w:rPr>
        <w:t>, and must therefore be due to a combination of sub-threshold variat</w:t>
      </w:r>
      <w:r w:rsidR="00F60D58" w:rsidRPr="00295F63">
        <w:rPr>
          <w:rFonts w:ascii="Arial" w:hAnsi="Arial" w:cs="Arial"/>
          <w:color w:val="000000" w:themeColor="text1"/>
          <w:sz w:val="22"/>
          <w:szCs w:val="22"/>
        </w:rPr>
        <w:t>ions in both of these features.</w:t>
      </w:r>
    </w:p>
    <w:p w14:paraId="70B9BF4E" w14:textId="77777777" w:rsidR="001B4566" w:rsidRDefault="001B4566" w:rsidP="00A263E5">
      <w:pPr>
        <w:spacing w:line="360" w:lineRule="auto"/>
        <w:rPr>
          <w:rFonts w:ascii="Arial" w:hAnsi="Arial" w:cs="Arial"/>
          <w:sz w:val="22"/>
          <w:szCs w:val="22"/>
        </w:rPr>
      </w:pPr>
    </w:p>
    <w:p w14:paraId="0F48FB29" w14:textId="20B24590" w:rsidR="00266779" w:rsidRPr="00966ECF" w:rsidRDefault="00B3043C" w:rsidP="00266779">
      <w:pPr>
        <w:spacing w:line="360" w:lineRule="auto"/>
        <w:rPr>
          <w:rFonts w:ascii="Arial" w:eastAsia="Verdana" w:hAnsi="Arial" w:cs="Arial"/>
          <w:b/>
          <w:bCs/>
          <w:i/>
          <w:color w:val="000000"/>
          <w:sz w:val="22"/>
          <w:szCs w:val="22"/>
        </w:rPr>
      </w:pPr>
      <w:r w:rsidRPr="000D01FD">
        <w:rPr>
          <w:rFonts w:ascii="Arial" w:hAnsi="Arial" w:cs="Arial"/>
          <w:b/>
          <w:i/>
          <w:color w:val="000000" w:themeColor="text1"/>
          <w:sz w:val="22"/>
          <w:szCs w:val="22"/>
        </w:rPr>
        <w:t xml:space="preserve">Correlations between </w:t>
      </w:r>
      <w:r w:rsidR="00266779" w:rsidRPr="00966ECF">
        <w:rPr>
          <w:rFonts w:ascii="Arial" w:hAnsi="Arial" w:cs="Arial"/>
          <w:b/>
          <w:i/>
          <w:sz w:val="22"/>
          <w:szCs w:val="22"/>
        </w:rPr>
        <w:t>cortical thickness</w:t>
      </w:r>
      <w:r w:rsidR="00266779">
        <w:rPr>
          <w:rFonts w:ascii="Arial" w:hAnsi="Arial" w:cs="Arial"/>
          <w:b/>
          <w:i/>
          <w:sz w:val="22"/>
          <w:szCs w:val="22"/>
        </w:rPr>
        <w:t>,</w:t>
      </w:r>
      <w:r w:rsidR="00266779" w:rsidRPr="00966ECF">
        <w:rPr>
          <w:rFonts w:ascii="Arial" w:hAnsi="Arial" w:cs="Arial"/>
          <w:b/>
          <w:i/>
          <w:sz w:val="22"/>
          <w:szCs w:val="22"/>
        </w:rPr>
        <w:t xml:space="preserve"> surface area</w:t>
      </w:r>
      <w:r w:rsidR="00266779">
        <w:rPr>
          <w:rFonts w:ascii="Arial" w:hAnsi="Arial" w:cs="Arial"/>
          <w:b/>
          <w:i/>
          <w:sz w:val="22"/>
          <w:szCs w:val="22"/>
        </w:rPr>
        <w:t xml:space="preserve"> and cortical volume</w:t>
      </w:r>
      <w:r w:rsidR="00266779" w:rsidRPr="00966ECF">
        <w:rPr>
          <w:rFonts w:ascii="Arial" w:hAnsi="Arial" w:cs="Arial"/>
          <w:b/>
          <w:i/>
          <w:sz w:val="22"/>
          <w:szCs w:val="22"/>
        </w:rPr>
        <w:t xml:space="preserve">, </w:t>
      </w:r>
      <w:r w:rsidR="00266779" w:rsidRPr="00966ECF">
        <w:rPr>
          <w:rFonts w:ascii="Arial" w:eastAsia="Verdana" w:hAnsi="Arial" w:cs="Arial"/>
          <w:b/>
          <w:bCs/>
          <w:i/>
          <w:color w:val="000000"/>
          <w:sz w:val="22"/>
          <w:szCs w:val="22"/>
        </w:rPr>
        <w:t xml:space="preserve">and </w:t>
      </w:r>
      <w:r w:rsidR="00266779" w:rsidRPr="00966ECF">
        <w:rPr>
          <w:rFonts w:ascii="Arial" w:hAnsi="Arial" w:cs="Arial"/>
          <w:b/>
          <w:i/>
          <w:sz w:val="22"/>
          <w:szCs w:val="22"/>
        </w:rPr>
        <w:t xml:space="preserve">dissociative symptoms and </w:t>
      </w:r>
      <w:r w:rsidR="00266779" w:rsidRPr="00966ECF">
        <w:rPr>
          <w:rFonts w:ascii="Arial" w:eastAsia="Verdana" w:hAnsi="Arial" w:cs="Arial"/>
          <w:b/>
          <w:bCs/>
          <w:i/>
          <w:color w:val="000000"/>
          <w:sz w:val="22"/>
          <w:szCs w:val="22"/>
        </w:rPr>
        <w:t>traumatization</w:t>
      </w:r>
    </w:p>
    <w:p w14:paraId="00830970" w14:textId="085775C5" w:rsidR="00B3043C" w:rsidRDefault="00B3043C" w:rsidP="00B3043C">
      <w:pPr>
        <w:spacing w:line="360" w:lineRule="auto"/>
        <w:rPr>
          <w:rFonts w:ascii="Arial" w:hAnsi="Arial" w:cs="Arial"/>
          <w:color w:val="000000" w:themeColor="text1"/>
          <w:sz w:val="22"/>
          <w:szCs w:val="22"/>
        </w:rPr>
      </w:pPr>
      <w:r w:rsidRPr="000D01FD">
        <w:rPr>
          <w:rFonts w:ascii="Arial" w:hAnsi="Arial" w:cs="Arial"/>
          <w:color w:val="000000" w:themeColor="text1"/>
          <w:sz w:val="22"/>
          <w:szCs w:val="22"/>
        </w:rPr>
        <w:t>In many regions with a significant between-group difference in SA and/or CV, we also found a significant negative correlation between neuroanatomical deficits and measures of dissociative symptom severity. These are</w:t>
      </w:r>
      <w:r w:rsidR="004E7CB9">
        <w:rPr>
          <w:rFonts w:ascii="Arial" w:hAnsi="Arial" w:cs="Arial"/>
          <w:color w:val="000000" w:themeColor="text1"/>
          <w:sz w:val="22"/>
          <w:szCs w:val="22"/>
        </w:rPr>
        <w:t xml:space="preserve"> listed in Supplementary Table 1</w:t>
      </w:r>
      <w:r w:rsidRPr="000D01FD">
        <w:rPr>
          <w:rFonts w:ascii="Arial" w:hAnsi="Arial" w:cs="Arial"/>
          <w:color w:val="000000" w:themeColor="text1"/>
          <w:sz w:val="22"/>
          <w:szCs w:val="22"/>
        </w:rPr>
        <w:t xml:space="preserve"> and depicted in Supplementary Figure 1. Significant correlations were predominantly observed in bilateral </w:t>
      </w:r>
      <w:r w:rsidRPr="000D01FD">
        <w:rPr>
          <w:rFonts w:ascii="Arial" w:hAnsi="Arial" w:cs="Arial"/>
          <w:color w:val="000000" w:themeColor="text1"/>
          <w:sz w:val="22"/>
          <w:szCs w:val="22"/>
        </w:rPr>
        <w:lastRenderedPageBreak/>
        <w:t>frontal lobe regions for both SA and CV, including the orbitofrontal cortex, and in the right posterior temporal lobe and precuneus for measures of CV. There were no clusters of significant correlations between clinical composite scores and measure of CT.</w:t>
      </w:r>
    </w:p>
    <w:p w14:paraId="1AF97ABA" w14:textId="5F2F1081" w:rsidR="0096667D" w:rsidRPr="000D01FD" w:rsidRDefault="0096667D" w:rsidP="00B3043C">
      <w:pPr>
        <w:spacing w:line="360" w:lineRule="auto"/>
        <w:rPr>
          <w:rFonts w:ascii="Arial" w:hAnsi="Arial" w:cs="Arial"/>
          <w:b/>
          <w:color w:val="000000" w:themeColor="text1"/>
          <w:sz w:val="22"/>
          <w:szCs w:val="22"/>
        </w:rPr>
      </w:pPr>
      <w:r>
        <w:rPr>
          <w:rFonts w:ascii="Arial" w:hAnsi="Arial" w:cs="Arial"/>
          <w:color w:val="000000" w:themeColor="text1"/>
          <w:sz w:val="22"/>
          <w:szCs w:val="22"/>
        </w:rPr>
        <w:tab/>
      </w:r>
      <w:r w:rsidR="007C06B7">
        <w:rPr>
          <w:rFonts w:ascii="Arial" w:hAnsi="Arial" w:cs="Arial"/>
          <w:color w:val="000000" w:themeColor="text1"/>
          <w:sz w:val="22"/>
          <w:szCs w:val="22"/>
        </w:rPr>
        <w:t>T</w:t>
      </w:r>
      <w:r w:rsidR="007C06B7">
        <w:rPr>
          <w:rFonts w:ascii="Arial" w:eastAsia="Times New Roman" w:hAnsi="Arial" w:cs="Arial"/>
          <w:sz w:val="22"/>
          <w:szCs w:val="22"/>
        </w:rPr>
        <w:t xml:space="preserve">he </w:t>
      </w:r>
      <w:r w:rsidR="007C06B7" w:rsidRPr="00F0629B">
        <w:rPr>
          <w:rFonts w:ascii="Arial" w:eastAsia="Times New Roman" w:hAnsi="Arial" w:cs="Arial"/>
          <w:sz w:val="22"/>
          <w:szCs w:val="22"/>
        </w:rPr>
        <w:t>regression analyses of CT, SA and CV with the total trauma composite scores per developmental period,</w:t>
      </w:r>
      <w:r w:rsidR="007C06B7">
        <w:rPr>
          <w:rFonts w:ascii="Arial" w:eastAsia="Times New Roman" w:hAnsi="Arial" w:cs="Arial"/>
          <w:sz w:val="22"/>
          <w:szCs w:val="22"/>
        </w:rPr>
        <w:t xml:space="preserve"> that is for 0-6, 7-12 and 13-18, did not provide any significant results. L</w:t>
      </w:r>
      <w:r w:rsidR="007C06B7" w:rsidRPr="00F0629B">
        <w:rPr>
          <w:rFonts w:ascii="Arial" w:eastAsia="Times New Roman" w:hAnsi="Arial" w:cs="Arial"/>
          <w:sz w:val="22"/>
          <w:szCs w:val="22"/>
        </w:rPr>
        <w:t>owering the threshold to</w:t>
      </w:r>
      <w:r w:rsidR="00CA3633">
        <w:rPr>
          <w:rFonts w:ascii="Arial" w:eastAsia="Times New Roman" w:hAnsi="Arial" w:cs="Arial"/>
          <w:sz w:val="22"/>
          <w:szCs w:val="22"/>
        </w:rPr>
        <w:t xml:space="preserve"> explore uncorrected significance</w:t>
      </w:r>
      <w:r w:rsidR="007C06B7" w:rsidRPr="00F0629B">
        <w:rPr>
          <w:rFonts w:ascii="Arial" w:eastAsia="Times New Roman" w:hAnsi="Arial" w:cs="Arial"/>
          <w:sz w:val="22"/>
          <w:szCs w:val="22"/>
        </w:rPr>
        <w:t xml:space="preserve"> levels did not reveal any </w:t>
      </w:r>
      <w:r w:rsidR="007C06B7">
        <w:rPr>
          <w:rFonts w:ascii="Arial" w:eastAsia="Times New Roman" w:hAnsi="Arial" w:cs="Arial"/>
          <w:sz w:val="22"/>
          <w:szCs w:val="22"/>
        </w:rPr>
        <w:t xml:space="preserve">neuroanatomical correlates of traumatization </w:t>
      </w:r>
      <w:r w:rsidR="007C06B7" w:rsidRPr="00F0629B">
        <w:rPr>
          <w:rFonts w:ascii="Arial" w:eastAsia="Times New Roman" w:hAnsi="Arial" w:cs="Arial"/>
          <w:sz w:val="22"/>
          <w:szCs w:val="22"/>
        </w:rPr>
        <w:t>for any of the three developmental periods.</w:t>
      </w:r>
    </w:p>
    <w:p w14:paraId="6D7E3B2B" w14:textId="77777777" w:rsidR="00B3043C" w:rsidRPr="00295F63" w:rsidRDefault="00B3043C" w:rsidP="00A263E5">
      <w:pPr>
        <w:spacing w:line="360" w:lineRule="auto"/>
        <w:rPr>
          <w:rFonts w:ascii="Arial" w:hAnsi="Arial" w:cs="Arial"/>
          <w:sz w:val="22"/>
          <w:szCs w:val="22"/>
        </w:rPr>
      </w:pPr>
    </w:p>
    <w:p w14:paraId="20ED0E5F" w14:textId="77777777" w:rsidR="001B4566" w:rsidRPr="00295F63" w:rsidRDefault="002834F0" w:rsidP="00A263E5">
      <w:pPr>
        <w:spacing w:line="360" w:lineRule="auto"/>
        <w:rPr>
          <w:rFonts w:ascii="Arial" w:hAnsi="Arial" w:cs="Arial"/>
          <w:b/>
          <w:sz w:val="22"/>
          <w:szCs w:val="22"/>
        </w:rPr>
      </w:pPr>
      <w:r w:rsidRPr="00295F63">
        <w:rPr>
          <w:rFonts w:ascii="Arial" w:hAnsi="Arial" w:cs="Arial"/>
          <w:b/>
          <w:sz w:val="22"/>
          <w:szCs w:val="22"/>
        </w:rPr>
        <w:br w:type="column"/>
      </w:r>
      <w:r w:rsidR="0036229C" w:rsidRPr="00295F63">
        <w:rPr>
          <w:rFonts w:ascii="Arial" w:hAnsi="Arial" w:cs="Arial"/>
          <w:b/>
          <w:sz w:val="22"/>
          <w:szCs w:val="22"/>
        </w:rPr>
        <w:lastRenderedPageBreak/>
        <w:t>DISCUSSION</w:t>
      </w:r>
    </w:p>
    <w:p w14:paraId="4466FB83" w14:textId="3A4FA6B1" w:rsidR="00E90B20" w:rsidRPr="00E11E31" w:rsidRDefault="000B7B19" w:rsidP="00A263E5">
      <w:pPr>
        <w:spacing w:line="360" w:lineRule="auto"/>
        <w:rPr>
          <w:rFonts w:ascii="Arial" w:hAnsi="Arial" w:cs="Arial"/>
          <w:color w:val="000000"/>
          <w:sz w:val="22"/>
          <w:szCs w:val="22"/>
        </w:rPr>
      </w:pPr>
      <w:r w:rsidRPr="00295F63">
        <w:rPr>
          <w:rFonts w:ascii="Arial" w:hAnsi="Arial" w:cs="Arial"/>
          <w:sz w:val="22"/>
          <w:szCs w:val="22"/>
        </w:rPr>
        <w:t xml:space="preserve">This is the first study, to our knowledge, to examine </w:t>
      </w:r>
      <w:r w:rsidR="009E2780">
        <w:rPr>
          <w:rFonts w:ascii="Arial" w:hAnsi="Arial" w:cs="Arial"/>
          <w:sz w:val="22"/>
          <w:szCs w:val="22"/>
        </w:rPr>
        <w:t>r</w:t>
      </w:r>
      <w:r w:rsidRPr="00295F63">
        <w:rPr>
          <w:rFonts w:ascii="Arial" w:hAnsi="Arial" w:cs="Arial"/>
          <w:sz w:val="22"/>
          <w:szCs w:val="22"/>
        </w:rPr>
        <w:t>egional differe</w:t>
      </w:r>
      <w:r w:rsidR="00BE1CAB" w:rsidRPr="00295F63">
        <w:rPr>
          <w:rFonts w:ascii="Arial" w:hAnsi="Arial" w:cs="Arial"/>
          <w:sz w:val="22"/>
          <w:szCs w:val="22"/>
        </w:rPr>
        <w:t xml:space="preserve">nces in </w:t>
      </w:r>
      <w:r w:rsidRPr="00295F63">
        <w:rPr>
          <w:rFonts w:ascii="Arial" w:hAnsi="Arial" w:cs="Arial"/>
          <w:sz w:val="22"/>
          <w:szCs w:val="22"/>
        </w:rPr>
        <w:t>cortical thickness (CT) and surface area (SA)</w:t>
      </w:r>
      <w:r w:rsidR="00E90B20">
        <w:rPr>
          <w:rFonts w:ascii="Arial" w:hAnsi="Arial" w:cs="Arial"/>
          <w:sz w:val="22"/>
          <w:szCs w:val="22"/>
        </w:rPr>
        <w:t>, the</w:t>
      </w:r>
      <w:r w:rsidRPr="00295F63">
        <w:rPr>
          <w:rFonts w:ascii="Arial" w:hAnsi="Arial" w:cs="Arial"/>
          <w:sz w:val="22"/>
          <w:szCs w:val="22"/>
        </w:rPr>
        <w:t xml:space="preserve"> </w:t>
      </w:r>
      <w:r w:rsidR="00E90B20" w:rsidRPr="00295F63">
        <w:rPr>
          <w:rFonts w:ascii="Arial" w:hAnsi="Arial" w:cs="Arial"/>
          <w:sz w:val="22"/>
          <w:szCs w:val="22"/>
        </w:rPr>
        <w:t xml:space="preserve">two components </w:t>
      </w:r>
      <w:r w:rsidR="00E90B20">
        <w:rPr>
          <w:rFonts w:ascii="Arial" w:hAnsi="Arial" w:cs="Arial"/>
          <w:sz w:val="22"/>
          <w:szCs w:val="22"/>
        </w:rPr>
        <w:t xml:space="preserve">of </w:t>
      </w:r>
      <w:r w:rsidR="00E90B20" w:rsidRPr="00295F63">
        <w:rPr>
          <w:rFonts w:ascii="Arial" w:hAnsi="Arial" w:cs="Arial"/>
          <w:sz w:val="22"/>
          <w:szCs w:val="22"/>
        </w:rPr>
        <w:t>cortical volume (CV)</w:t>
      </w:r>
      <w:r w:rsidR="00E90B20">
        <w:rPr>
          <w:rFonts w:ascii="Arial" w:hAnsi="Arial" w:cs="Arial"/>
          <w:sz w:val="22"/>
          <w:szCs w:val="22"/>
        </w:rPr>
        <w:t>,</w:t>
      </w:r>
      <w:r w:rsidR="00E90B20" w:rsidRPr="00295F63">
        <w:rPr>
          <w:rFonts w:ascii="Arial" w:hAnsi="Arial" w:cs="Arial"/>
          <w:sz w:val="22"/>
          <w:szCs w:val="22"/>
        </w:rPr>
        <w:t xml:space="preserve"> </w:t>
      </w:r>
      <w:r w:rsidRPr="00295F63">
        <w:rPr>
          <w:rFonts w:ascii="Arial" w:hAnsi="Arial" w:cs="Arial"/>
          <w:sz w:val="22"/>
          <w:szCs w:val="22"/>
        </w:rPr>
        <w:t xml:space="preserve">in a large sample of </w:t>
      </w:r>
      <w:r w:rsidR="00C323E0" w:rsidRPr="00295F63">
        <w:rPr>
          <w:rFonts w:ascii="Arial" w:hAnsi="Arial" w:cs="Arial"/>
          <w:sz w:val="22"/>
          <w:szCs w:val="22"/>
        </w:rPr>
        <w:t>wom</w:t>
      </w:r>
      <w:r w:rsidR="00C323E0">
        <w:rPr>
          <w:rFonts w:ascii="Arial" w:hAnsi="Arial" w:cs="Arial"/>
          <w:sz w:val="22"/>
          <w:szCs w:val="22"/>
        </w:rPr>
        <w:t>e</w:t>
      </w:r>
      <w:r w:rsidR="00C323E0" w:rsidRPr="00295F63">
        <w:rPr>
          <w:rFonts w:ascii="Arial" w:hAnsi="Arial" w:cs="Arial"/>
          <w:sz w:val="22"/>
          <w:szCs w:val="22"/>
        </w:rPr>
        <w:t xml:space="preserve">n </w:t>
      </w:r>
      <w:r w:rsidRPr="00295F63">
        <w:rPr>
          <w:rFonts w:ascii="Arial" w:hAnsi="Arial" w:cs="Arial"/>
          <w:sz w:val="22"/>
          <w:szCs w:val="22"/>
        </w:rPr>
        <w:t>with disso</w:t>
      </w:r>
      <w:r w:rsidR="0061718A">
        <w:rPr>
          <w:rFonts w:ascii="Arial" w:hAnsi="Arial" w:cs="Arial"/>
          <w:sz w:val="22"/>
          <w:szCs w:val="22"/>
        </w:rPr>
        <w:t>ciative identity disorder (DID), u</w:t>
      </w:r>
      <w:r w:rsidRPr="00295F63">
        <w:rPr>
          <w:rFonts w:ascii="Arial" w:hAnsi="Arial" w:cs="Arial"/>
          <w:sz w:val="22"/>
          <w:szCs w:val="22"/>
        </w:rPr>
        <w:t>sing a novel spatially-unbiased vertex-wise approach</w:t>
      </w:r>
      <w:r w:rsidR="00050EE0">
        <w:rPr>
          <w:rFonts w:ascii="Arial" w:hAnsi="Arial" w:cs="Arial"/>
          <w:sz w:val="22"/>
          <w:szCs w:val="22"/>
        </w:rPr>
        <w:t>. W</w:t>
      </w:r>
      <w:r w:rsidR="00637DFE">
        <w:rPr>
          <w:rFonts w:ascii="Arial" w:hAnsi="Arial" w:cs="Arial"/>
          <w:sz w:val="22"/>
          <w:szCs w:val="22"/>
        </w:rPr>
        <w:t>e found</w:t>
      </w:r>
      <w:r w:rsidR="004C1CEC" w:rsidRPr="00295F63">
        <w:rPr>
          <w:rFonts w:ascii="Arial" w:hAnsi="Arial" w:cs="Arial"/>
          <w:sz w:val="22"/>
          <w:szCs w:val="22"/>
        </w:rPr>
        <w:t xml:space="preserve"> </w:t>
      </w:r>
      <w:r w:rsidR="0061718A">
        <w:rPr>
          <w:rFonts w:ascii="Arial" w:hAnsi="Arial" w:cs="Arial"/>
          <w:sz w:val="22"/>
          <w:szCs w:val="22"/>
        </w:rPr>
        <w:t>that</w:t>
      </w:r>
      <w:r w:rsidR="00104D04">
        <w:rPr>
          <w:rFonts w:ascii="Arial" w:hAnsi="Arial" w:cs="Arial"/>
          <w:sz w:val="22"/>
          <w:szCs w:val="22"/>
        </w:rPr>
        <w:t>,</w:t>
      </w:r>
      <w:r w:rsidR="0061718A">
        <w:rPr>
          <w:rFonts w:ascii="Arial" w:hAnsi="Arial" w:cs="Arial"/>
          <w:sz w:val="22"/>
          <w:szCs w:val="22"/>
        </w:rPr>
        <w:t xml:space="preserve"> </w:t>
      </w:r>
      <w:r w:rsidR="00104D04" w:rsidRPr="00295F63">
        <w:rPr>
          <w:rFonts w:ascii="Arial" w:hAnsi="Arial" w:cs="Arial"/>
          <w:sz w:val="22"/>
          <w:szCs w:val="22"/>
        </w:rPr>
        <w:t xml:space="preserve">relative to </w:t>
      </w:r>
      <w:r w:rsidR="00104D04">
        <w:rPr>
          <w:rFonts w:ascii="Arial" w:hAnsi="Arial" w:cs="Arial"/>
          <w:sz w:val="22"/>
          <w:szCs w:val="22"/>
        </w:rPr>
        <w:t xml:space="preserve">healthy </w:t>
      </w:r>
      <w:r w:rsidR="00104D04" w:rsidRPr="00295F63">
        <w:rPr>
          <w:rFonts w:ascii="Arial" w:hAnsi="Arial" w:cs="Arial"/>
          <w:sz w:val="22"/>
          <w:szCs w:val="22"/>
        </w:rPr>
        <w:t>controls</w:t>
      </w:r>
      <w:r w:rsidR="00104D04">
        <w:rPr>
          <w:rFonts w:ascii="Arial" w:hAnsi="Arial" w:cs="Arial"/>
          <w:sz w:val="22"/>
          <w:szCs w:val="22"/>
        </w:rPr>
        <w:t xml:space="preserve">, </w:t>
      </w:r>
      <w:r w:rsidR="00BD0B19">
        <w:rPr>
          <w:rFonts w:ascii="Arial" w:hAnsi="Arial" w:cs="Arial"/>
          <w:sz w:val="22"/>
          <w:szCs w:val="22"/>
        </w:rPr>
        <w:t xml:space="preserve">women </w:t>
      </w:r>
      <w:r w:rsidRPr="00295F63">
        <w:rPr>
          <w:rFonts w:ascii="Arial" w:hAnsi="Arial" w:cs="Arial"/>
          <w:sz w:val="22"/>
          <w:szCs w:val="22"/>
        </w:rPr>
        <w:t xml:space="preserve">with DID </w:t>
      </w:r>
      <w:r w:rsidR="00104D04">
        <w:rPr>
          <w:rFonts w:ascii="Arial" w:hAnsi="Arial" w:cs="Arial"/>
          <w:sz w:val="22"/>
          <w:szCs w:val="22"/>
        </w:rPr>
        <w:t xml:space="preserve">presented </w:t>
      </w:r>
      <w:r w:rsidRPr="00295F63">
        <w:rPr>
          <w:rFonts w:ascii="Arial" w:hAnsi="Arial" w:cs="Arial"/>
          <w:sz w:val="22"/>
          <w:szCs w:val="22"/>
        </w:rPr>
        <w:t xml:space="preserve">distributed neuroanatomical </w:t>
      </w:r>
      <w:r w:rsidR="00104D04">
        <w:rPr>
          <w:rFonts w:ascii="Arial" w:hAnsi="Arial" w:cs="Arial"/>
          <w:sz w:val="22"/>
          <w:szCs w:val="22"/>
        </w:rPr>
        <w:t xml:space="preserve">changes </w:t>
      </w:r>
      <w:r w:rsidRPr="00295F63">
        <w:rPr>
          <w:rFonts w:ascii="Arial" w:hAnsi="Arial" w:cs="Arial"/>
          <w:sz w:val="22"/>
          <w:szCs w:val="22"/>
        </w:rPr>
        <w:t xml:space="preserve">in cortical </w:t>
      </w:r>
      <w:r w:rsidR="00A3027D">
        <w:rPr>
          <w:rFonts w:ascii="Arial" w:hAnsi="Arial" w:cs="Arial"/>
          <w:sz w:val="22"/>
          <w:szCs w:val="22"/>
        </w:rPr>
        <w:t>morphology</w:t>
      </w:r>
      <w:r w:rsidR="00552BF7">
        <w:rPr>
          <w:rFonts w:ascii="Arial" w:hAnsi="Arial" w:cs="Arial"/>
          <w:sz w:val="22"/>
          <w:szCs w:val="22"/>
        </w:rPr>
        <w:t xml:space="preserve">. </w:t>
      </w:r>
      <w:r w:rsidR="00E90B20">
        <w:rPr>
          <w:rFonts w:ascii="Arial" w:hAnsi="Arial" w:cs="Arial"/>
          <w:color w:val="000000" w:themeColor="text1"/>
          <w:sz w:val="22"/>
          <w:szCs w:val="22"/>
        </w:rPr>
        <w:t>Women</w:t>
      </w:r>
      <w:r w:rsidR="00552BF7" w:rsidRPr="00295F63">
        <w:rPr>
          <w:rFonts w:ascii="Arial" w:hAnsi="Arial" w:cs="Arial"/>
          <w:color w:val="000000" w:themeColor="text1"/>
          <w:sz w:val="22"/>
          <w:szCs w:val="22"/>
        </w:rPr>
        <w:t xml:space="preserve"> with DID </w:t>
      </w:r>
      <w:r w:rsidR="00E90B20">
        <w:rPr>
          <w:rFonts w:ascii="Arial" w:hAnsi="Arial" w:cs="Arial"/>
          <w:sz w:val="22"/>
          <w:szCs w:val="22"/>
        </w:rPr>
        <w:t>showed</w:t>
      </w:r>
      <w:r w:rsidR="00552BF7">
        <w:rPr>
          <w:rFonts w:ascii="Arial" w:hAnsi="Arial" w:cs="Arial"/>
          <w:sz w:val="22"/>
          <w:szCs w:val="22"/>
        </w:rPr>
        <w:t xml:space="preserve"> significant and</w:t>
      </w:r>
      <w:r w:rsidR="00552BF7">
        <w:rPr>
          <w:rFonts w:ascii="Arial" w:hAnsi="Arial" w:cs="Arial"/>
          <w:color w:val="000000" w:themeColor="text1"/>
          <w:sz w:val="22"/>
          <w:szCs w:val="22"/>
        </w:rPr>
        <w:t xml:space="preserve"> </w:t>
      </w:r>
      <w:r w:rsidR="00552BF7" w:rsidRPr="00295F63">
        <w:rPr>
          <w:rFonts w:ascii="Arial" w:hAnsi="Arial" w:cs="Arial"/>
          <w:color w:val="000000" w:themeColor="text1"/>
          <w:sz w:val="22"/>
          <w:szCs w:val="22"/>
        </w:rPr>
        <w:t>ex</w:t>
      </w:r>
      <w:r w:rsidR="009541A1">
        <w:rPr>
          <w:rFonts w:ascii="Arial" w:hAnsi="Arial" w:cs="Arial"/>
          <w:color w:val="000000" w:themeColor="text1"/>
          <w:sz w:val="22"/>
          <w:szCs w:val="22"/>
        </w:rPr>
        <w:t>tensive volumetric reductions of</w:t>
      </w:r>
      <w:r w:rsidR="00552BF7" w:rsidRPr="00295F63">
        <w:rPr>
          <w:rFonts w:ascii="Arial" w:hAnsi="Arial" w:cs="Arial"/>
          <w:color w:val="000000" w:themeColor="text1"/>
          <w:sz w:val="22"/>
          <w:szCs w:val="22"/>
        </w:rPr>
        <w:t xml:space="preserve"> regional grey matter</w:t>
      </w:r>
      <w:r w:rsidR="00552BF7">
        <w:rPr>
          <w:rFonts w:ascii="Arial" w:hAnsi="Arial" w:cs="Arial"/>
          <w:sz w:val="22"/>
          <w:szCs w:val="22"/>
        </w:rPr>
        <w:t xml:space="preserve"> </w:t>
      </w:r>
      <w:r w:rsidR="009541A1">
        <w:rPr>
          <w:rFonts w:ascii="Arial" w:hAnsi="Arial" w:cs="Arial"/>
          <w:sz w:val="22"/>
          <w:szCs w:val="22"/>
        </w:rPr>
        <w:t xml:space="preserve">in the </w:t>
      </w:r>
      <w:r w:rsidR="005704F3">
        <w:rPr>
          <w:rFonts w:ascii="Arial" w:hAnsi="Arial" w:cs="Arial"/>
          <w:color w:val="000000" w:themeColor="text1"/>
          <w:sz w:val="22"/>
          <w:szCs w:val="22"/>
        </w:rPr>
        <w:t>insula</w:t>
      </w:r>
      <w:r w:rsidR="009541A1">
        <w:rPr>
          <w:rFonts w:ascii="Arial" w:hAnsi="Arial" w:cs="Arial"/>
          <w:color w:val="000000" w:themeColor="text1"/>
          <w:sz w:val="22"/>
          <w:szCs w:val="22"/>
        </w:rPr>
        <w:t xml:space="preserve">, the cingulate cortex, </w:t>
      </w:r>
      <w:r w:rsidR="005704F3" w:rsidRPr="00295F63">
        <w:rPr>
          <w:rFonts w:ascii="Arial" w:hAnsi="Arial" w:cs="Arial"/>
          <w:color w:val="000000" w:themeColor="text1"/>
          <w:sz w:val="22"/>
          <w:szCs w:val="22"/>
        </w:rPr>
        <w:t>the dorsolateral</w:t>
      </w:r>
      <w:r w:rsidR="009541A1">
        <w:rPr>
          <w:rFonts w:ascii="Arial" w:hAnsi="Arial" w:cs="Arial"/>
          <w:color w:val="000000" w:themeColor="text1"/>
          <w:sz w:val="22"/>
          <w:szCs w:val="22"/>
        </w:rPr>
        <w:t>, superior,</w:t>
      </w:r>
      <w:r w:rsidR="005704F3" w:rsidRPr="00295F63">
        <w:rPr>
          <w:rFonts w:ascii="Arial" w:hAnsi="Arial" w:cs="Arial"/>
          <w:color w:val="000000" w:themeColor="text1"/>
          <w:sz w:val="22"/>
          <w:szCs w:val="22"/>
        </w:rPr>
        <w:t xml:space="preserve"> </w:t>
      </w:r>
      <w:r w:rsidR="009541A1">
        <w:rPr>
          <w:rFonts w:ascii="Arial" w:hAnsi="Arial" w:cs="Arial"/>
          <w:color w:val="000000" w:themeColor="text1"/>
          <w:sz w:val="22"/>
          <w:szCs w:val="22"/>
        </w:rPr>
        <w:t xml:space="preserve">medial, </w:t>
      </w:r>
      <w:r w:rsidR="005704F3" w:rsidRPr="00295F63">
        <w:rPr>
          <w:rFonts w:ascii="Arial" w:hAnsi="Arial" w:cs="Arial"/>
          <w:color w:val="000000" w:themeColor="text1"/>
          <w:sz w:val="22"/>
          <w:szCs w:val="22"/>
        </w:rPr>
        <w:t xml:space="preserve">and </w:t>
      </w:r>
      <w:r w:rsidR="009541A1">
        <w:rPr>
          <w:rFonts w:ascii="Arial" w:hAnsi="Arial" w:cs="Arial"/>
          <w:color w:val="000000" w:themeColor="text1"/>
          <w:sz w:val="22"/>
          <w:szCs w:val="22"/>
        </w:rPr>
        <w:t xml:space="preserve">orbitofrontal prefrontal cortex, and the </w:t>
      </w:r>
      <w:r w:rsidR="005704F3" w:rsidRPr="00295F63">
        <w:rPr>
          <w:rFonts w:ascii="Arial" w:hAnsi="Arial" w:cs="Arial"/>
          <w:color w:val="000000" w:themeColor="text1"/>
          <w:sz w:val="22"/>
          <w:szCs w:val="22"/>
        </w:rPr>
        <w:t>superior and i</w:t>
      </w:r>
      <w:r w:rsidR="005704F3">
        <w:rPr>
          <w:rFonts w:ascii="Arial" w:hAnsi="Arial" w:cs="Arial"/>
          <w:color w:val="000000" w:themeColor="text1"/>
          <w:sz w:val="22"/>
          <w:szCs w:val="22"/>
        </w:rPr>
        <w:t>nferior temporal lobe</w:t>
      </w:r>
      <w:r w:rsidR="009541A1" w:rsidRPr="00155458">
        <w:rPr>
          <w:rFonts w:ascii="Arial" w:hAnsi="Arial" w:cs="Arial"/>
          <w:color w:val="000000" w:themeColor="text1"/>
          <w:sz w:val="22"/>
          <w:szCs w:val="22"/>
        </w:rPr>
        <w:t xml:space="preserve">. </w:t>
      </w:r>
      <w:r w:rsidR="00E90B20">
        <w:rPr>
          <w:rFonts w:ascii="Arial" w:hAnsi="Arial" w:cs="Arial"/>
          <w:color w:val="000000" w:themeColor="text1"/>
          <w:sz w:val="22"/>
          <w:szCs w:val="22"/>
        </w:rPr>
        <w:t>Furthermore, d</w:t>
      </w:r>
      <w:r w:rsidRPr="00D732A8">
        <w:rPr>
          <w:rFonts w:ascii="Arial" w:hAnsi="Arial" w:cs="Arial"/>
          <w:color w:val="000000"/>
          <w:sz w:val="22"/>
          <w:szCs w:val="22"/>
        </w:rPr>
        <w:t>ifferences in CT and SA were largely non-overlapping</w:t>
      </w:r>
      <w:r w:rsidR="00104D04">
        <w:rPr>
          <w:rFonts w:ascii="Arial" w:hAnsi="Arial" w:cs="Arial"/>
          <w:color w:val="000000"/>
          <w:sz w:val="22"/>
          <w:szCs w:val="22"/>
        </w:rPr>
        <w:t xml:space="preserve"> </w:t>
      </w:r>
      <w:r w:rsidR="009541A1">
        <w:rPr>
          <w:rFonts w:ascii="Arial" w:hAnsi="Arial" w:cs="Arial"/>
          <w:color w:val="000000"/>
          <w:sz w:val="22"/>
          <w:szCs w:val="22"/>
        </w:rPr>
        <w:t xml:space="preserve">and </w:t>
      </w:r>
      <w:r w:rsidR="00050EE0">
        <w:rPr>
          <w:rFonts w:ascii="Arial" w:hAnsi="Arial" w:cs="Arial"/>
          <w:color w:val="000000"/>
          <w:sz w:val="22"/>
          <w:szCs w:val="22"/>
        </w:rPr>
        <w:t xml:space="preserve">CT and SA </w:t>
      </w:r>
      <w:r w:rsidR="0061718A">
        <w:rPr>
          <w:rFonts w:ascii="Arial" w:hAnsi="Arial" w:cs="Arial"/>
          <w:color w:val="000000"/>
          <w:sz w:val="22"/>
          <w:szCs w:val="22"/>
        </w:rPr>
        <w:t xml:space="preserve">contributed differently </w:t>
      </w:r>
      <w:r w:rsidRPr="00295F63">
        <w:rPr>
          <w:rFonts w:ascii="Arial" w:hAnsi="Arial" w:cs="Arial"/>
          <w:color w:val="000000"/>
          <w:sz w:val="22"/>
          <w:szCs w:val="22"/>
        </w:rPr>
        <w:t>to dif</w:t>
      </w:r>
      <w:r w:rsidR="00412250" w:rsidRPr="00295F63">
        <w:rPr>
          <w:rFonts w:ascii="Arial" w:hAnsi="Arial" w:cs="Arial"/>
          <w:color w:val="000000"/>
          <w:sz w:val="22"/>
          <w:szCs w:val="22"/>
        </w:rPr>
        <w:t>ferences in CV</w:t>
      </w:r>
      <w:r w:rsidR="005243D4">
        <w:rPr>
          <w:rFonts w:ascii="Arial" w:hAnsi="Arial" w:cs="Arial"/>
          <w:color w:val="000000"/>
          <w:sz w:val="22"/>
          <w:szCs w:val="22"/>
        </w:rPr>
        <w:t>. The</w:t>
      </w:r>
      <w:r w:rsidRPr="00295F63">
        <w:rPr>
          <w:rFonts w:ascii="Arial" w:hAnsi="Arial" w:cs="Arial"/>
          <w:color w:val="000000"/>
          <w:sz w:val="22"/>
          <w:szCs w:val="22"/>
        </w:rPr>
        <w:t>s</w:t>
      </w:r>
      <w:r w:rsidR="005243D4">
        <w:rPr>
          <w:rFonts w:ascii="Arial" w:hAnsi="Arial" w:cs="Arial"/>
          <w:color w:val="000000"/>
          <w:sz w:val="22"/>
          <w:szCs w:val="22"/>
        </w:rPr>
        <w:t>e</w:t>
      </w:r>
      <w:r w:rsidRPr="00295F63">
        <w:rPr>
          <w:rFonts w:ascii="Arial" w:hAnsi="Arial" w:cs="Arial"/>
          <w:color w:val="000000"/>
          <w:sz w:val="22"/>
          <w:szCs w:val="22"/>
        </w:rPr>
        <w:t xml:space="preserve"> finding</w:t>
      </w:r>
      <w:r w:rsidR="005243D4">
        <w:rPr>
          <w:rFonts w:ascii="Arial" w:hAnsi="Arial" w:cs="Arial"/>
          <w:color w:val="000000"/>
          <w:sz w:val="22"/>
          <w:szCs w:val="22"/>
        </w:rPr>
        <w:t>s are</w:t>
      </w:r>
      <w:r w:rsidRPr="00295F63">
        <w:rPr>
          <w:rFonts w:ascii="Arial" w:hAnsi="Arial" w:cs="Arial"/>
          <w:color w:val="000000"/>
          <w:sz w:val="22"/>
          <w:szCs w:val="22"/>
        </w:rPr>
        <w:t xml:space="preserve"> </w:t>
      </w:r>
      <w:r w:rsidR="00412250" w:rsidRPr="00295F63">
        <w:rPr>
          <w:rFonts w:ascii="Arial" w:hAnsi="Arial" w:cs="Arial"/>
          <w:color w:val="000000"/>
          <w:sz w:val="22"/>
          <w:szCs w:val="22"/>
        </w:rPr>
        <w:t xml:space="preserve">important </w:t>
      </w:r>
      <w:r w:rsidR="009541A1">
        <w:rPr>
          <w:rFonts w:ascii="Arial" w:hAnsi="Arial" w:cs="Arial"/>
          <w:color w:val="000000"/>
          <w:sz w:val="22"/>
          <w:szCs w:val="22"/>
        </w:rPr>
        <w:t xml:space="preserve">from a neurodevelopmental perspective </w:t>
      </w:r>
      <w:r w:rsidR="0061718A">
        <w:rPr>
          <w:rFonts w:ascii="Arial" w:hAnsi="Arial" w:cs="Arial"/>
          <w:color w:val="000000"/>
          <w:sz w:val="22"/>
          <w:szCs w:val="22"/>
        </w:rPr>
        <w:t xml:space="preserve">as </w:t>
      </w:r>
      <w:r w:rsidRPr="00295F63">
        <w:rPr>
          <w:rFonts w:ascii="Arial" w:hAnsi="Arial" w:cs="Arial"/>
          <w:color w:val="000000"/>
          <w:sz w:val="22"/>
          <w:szCs w:val="22"/>
        </w:rPr>
        <w:t xml:space="preserve">CT and SA </w:t>
      </w:r>
      <w:r w:rsidR="0061718A">
        <w:rPr>
          <w:rFonts w:ascii="Arial" w:hAnsi="Arial" w:cs="Arial"/>
          <w:color w:val="000000"/>
          <w:sz w:val="22"/>
          <w:szCs w:val="22"/>
        </w:rPr>
        <w:t xml:space="preserve">represent </w:t>
      </w:r>
      <w:r w:rsidRPr="00295F63">
        <w:rPr>
          <w:rFonts w:ascii="Arial" w:hAnsi="Arial" w:cs="Arial"/>
          <w:color w:val="000000"/>
          <w:sz w:val="22"/>
          <w:szCs w:val="22"/>
        </w:rPr>
        <w:t xml:space="preserve">distinct </w:t>
      </w:r>
      <w:r w:rsidR="0061718A">
        <w:rPr>
          <w:rFonts w:ascii="Arial" w:hAnsi="Arial" w:cs="Arial"/>
          <w:color w:val="000000"/>
          <w:sz w:val="22"/>
          <w:szCs w:val="22"/>
        </w:rPr>
        <w:t>aspects of cortical architecture</w:t>
      </w:r>
      <w:r w:rsidR="00E90B20">
        <w:rPr>
          <w:rFonts w:ascii="Arial" w:hAnsi="Arial" w:cs="Arial"/>
          <w:color w:val="000000"/>
          <w:sz w:val="22"/>
          <w:szCs w:val="22"/>
        </w:rPr>
        <w:t>, which</w:t>
      </w:r>
      <w:r w:rsidRPr="00295F63">
        <w:rPr>
          <w:rFonts w:ascii="Arial" w:hAnsi="Arial" w:cs="Arial"/>
          <w:color w:val="000000"/>
          <w:sz w:val="22"/>
          <w:szCs w:val="22"/>
        </w:rPr>
        <w:t xml:space="preserve"> are likely modulated by</w:t>
      </w:r>
      <w:r w:rsidR="00740D9C" w:rsidRPr="00295F63">
        <w:rPr>
          <w:rFonts w:ascii="Arial" w:hAnsi="Arial" w:cs="Arial"/>
          <w:color w:val="000000"/>
          <w:sz w:val="22"/>
          <w:szCs w:val="22"/>
        </w:rPr>
        <w:t xml:space="preserve"> </w:t>
      </w:r>
      <w:r w:rsidR="0061718A">
        <w:rPr>
          <w:rFonts w:ascii="Arial" w:hAnsi="Arial" w:cs="Arial"/>
          <w:color w:val="000000"/>
          <w:sz w:val="22"/>
          <w:szCs w:val="22"/>
        </w:rPr>
        <w:t>distinct epigenetic</w:t>
      </w:r>
      <w:r w:rsidR="00740D9C" w:rsidRPr="00295F63">
        <w:rPr>
          <w:rFonts w:ascii="Arial" w:hAnsi="Arial" w:cs="Arial"/>
          <w:color w:val="000000"/>
          <w:sz w:val="22"/>
          <w:szCs w:val="22"/>
        </w:rPr>
        <w:t xml:space="preserve"> and</w:t>
      </w:r>
      <w:r w:rsidRPr="00295F63">
        <w:rPr>
          <w:rFonts w:ascii="Arial" w:hAnsi="Arial" w:cs="Arial"/>
          <w:color w:val="000000"/>
          <w:sz w:val="22"/>
          <w:szCs w:val="22"/>
        </w:rPr>
        <w:t xml:space="preserve"> neurobiological mechanisms</w:t>
      </w:r>
      <w:r w:rsidR="00E11E31">
        <w:rPr>
          <w:rFonts w:ascii="Arial" w:hAnsi="Arial" w:cs="Arial"/>
          <w:color w:val="000000"/>
          <w:sz w:val="22"/>
          <w:szCs w:val="22"/>
        </w:rPr>
        <w:t>.</w:t>
      </w:r>
      <w:r w:rsidR="00AF7D3F" w:rsidRPr="00295F63">
        <w:rPr>
          <w:rFonts w:ascii="Arial" w:hAnsi="Arial" w:cs="Arial"/>
          <w:color w:val="000000"/>
          <w:sz w:val="22"/>
          <w:szCs w:val="22"/>
        </w:rPr>
        <w:t xml:space="preserve"> </w:t>
      </w:r>
    </w:p>
    <w:p w14:paraId="3DCBA316" w14:textId="17806252" w:rsidR="00050EE0" w:rsidRPr="000D7C6E" w:rsidRDefault="00BF0825" w:rsidP="00A263E5">
      <w:pPr>
        <w:spacing w:line="360" w:lineRule="auto"/>
        <w:rPr>
          <w:rFonts w:ascii="Arial" w:hAnsi="Arial" w:cs="Arial"/>
          <w:sz w:val="22"/>
          <w:szCs w:val="22"/>
        </w:rPr>
      </w:pPr>
      <w:r w:rsidRPr="00295F63">
        <w:rPr>
          <w:rFonts w:ascii="Arial" w:hAnsi="Arial" w:cs="Arial"/>
          <w:sz w:val="22"/>
          <w:szCs w:val="22"/>
          <w:lang w:val="en-GB"/>
        </w:rPr>
        <w:tab/>
      </w:r>
      <w:r w:rsidR="00437E0A">
        <w:rPr>
          <w:rFonts w:ascii="Arial" w:hAnsi="Arial" w:cs="Arial"/>
          <w:sz w:val="22"/>
          <w:szCs w:val="22"/>
          <w:lang w:val="en-GB"/>
        </w:rPr>
        <w:t>S</w:t>
      </w:r>
      <w:r w:rsidR="00CC5A10" w:rsidRPr="00295F63">
        <w:rPr>
          <w:rFonts w:ascii="Arial" w:hAnsi="Arial" w:cs="Arial"/>
          <w:sz w:val="22"/>
          <w:szCs w:val="22"/>
        </w:rPr>
        <w:t>patially-distributed differences in CT and SA</w:t>
      </w:r>
      <w:r w:rsidR="00437E0A">
        <w:rPr>
          <w:rFonts w:ascii="Arial" w:hAnsi="Arial" w:cs="Arial"/>
          <w:sz w:val="22"/>
          <w:szCs w:val="22"/>
        </w:rPr>
        <w:t xml:space="preserve"> were virtually non-overlapping. This finding</w:t>
      </w:r>
      <w:r w:rsidR="00114240" w:rsidRPr="00295F63">
        <w:rPr>
          <w:rFonts w:ascii="Arial" w:hAnsi="Arial" w:cs="Arial"/>
          <w:sz w:val="22"/>
          <w:szCs w:val="22"/>
        </w:rPr>
        <w:t xml:space="preserve"> </w:t>
      </w:r>
      <w:r w:rsidR="00CC5A10" w:rsidRPr="00295F63">
        <w:rPr>
          <w:rFonts w:ascii="Arial" w:hAnsi="Arial" w:cs="Arial"/>
          <w:sz w:val="22"/>
          <w:szCs w:val="22"/>
        </w:rPr>
        <w:t xml:space="preserve">is consistent with the notion that variations in CT and SA are spatially independent, and reflect independent sources of neuroanatomical </w:t>
      </w:r>
      <w:r w:rsidR="00CC5A10" w:rsidRPr="00B44347">
        <w:rPr>
          <w:rFonts w:ascii="Arial" w:hAnsi="Arial" w:cs="Arial"/>
          <w:sz w:val="22"/>
          <w:szCs w:val="22"/>
        </w:rPr>
        <w:t>variability</w:t>
      </w:r>
      <w:r w:rsidR="00CC5A10" w:rsidRPr="00B44347">
        <w:rPr>
          <w:rFonts w:ascii="Arial" w:hAnsi="Arial" w:cs="Arial"/>
          <w:sz w:val="22"/>
          <w:szCs w:val="22"/>
        </w:rPr>
        <w:fldChar w:fldCharType="begin" w:fldLock="1"/>
      </w:r>
      <w:r w:rsidR="005F6473">
        <w:rPr>
          <w:rFonts w:ascii="Arial" w:hAnsi="Arial" w:cs="Arial"/>
          <w:sz w:val="22"/>
          <w:szCs w:val="22"/>
        </w:rPr>
        <w:instrText>ADDIN CSL_CITATION { "citationItems" : [ { "id" : "ITEM-1", "itemData" : { "DOI" : "10.1001/jamapsychiatry.2013.265", "ISSN" : "2168-6238", "PMID" : "23404046", "abstract" : "CONTEXT: Neuroimaging studies of brain anatomy in autism spectrum disorder (ASD) have mostly been based on measures of cortical volume (CV). However, CV is a product of 2 distinct parameters, cortical thickness (CT) and surface area (SA), that in turn have distinct genetic and developmental origins. OBJECTIVE: To investigate regional differences in CV, SA, and CT as well as their relationship in a large and well-characterized sample of men with ASD and matched controls. DESIGN: Multicenter case-control design using quantitative magnetic resonance imaging. SETTING: Medical Research Council UK Autism Imaging Multicentre Study. PARTICIPANTS: A total of 168 men, 84 diagnosed as having ASD and 84 controls who did not differ significantly in mean (SD) age (26 [7] years vs 28 [6] years, respectively) or full-scale IQ (110 [14] vs 114 [12], respectively). MAIN OUTCOME MEASURES: Between-group differences in CV, SA, and CT investigated using a spatially unbiased vertex-based approach; the degree of spatial overlap between the differences in CT and SA; and their relative contribution to differences in regional CV. RESULTS: Individuals with ASD differed from controls in all 3 parameters. These mainly consisted of significantly increased CT within frontal lobe regions and reduced SA in the orbitofrontal cortex and posterior cingulum. These differences in CT and SA were paralleled by commensurate differences in CV. The spatially distributed patterns for CT and SA were largely nonoverlapping and shared only about 3% of all significantly different locations on the cerebral surface. CONCLUSIONS: Individuals with ASD have significant differences in CV, but these may be underpinned by (separable) variations in its 2 components, CT and SA. This is of importance because both measures result from distinct developmental pathways that are likely modulated by different neurobiological mechanisms. This finding may provide novel targets for future studies into the etiology of the condition and a new way to fractionate the disorder.", "author" : [ { "dropping-particle" : "", "family" : "Ecker", "given" : "Christine", "non-dropping-particle" : "", "parse-names" : false, "suffix" : "" }, { "dropping-particle" : "", "family" : "Ginestet", "given" : "Cedric", "non-dropping-particle" : "", "parse-names" : false, "suffix" : "" }, { "dropping-particle" : "", "family" : "Feng", "given" : "Yue", "non-dropping-particle" : "", "parse-names" : false, "suffix" : "" }, { "dropping-particle" : "", "family" : "Johnston", "given" : "Patrick", "non-dropping-particle" : "", "parse-names" : false, "suffix" : "" }, { "dropping-particle" : "V", "family" : "Lombardo", "given" : "Michael", "non-dropping-particle" : "", "parse-names" : false, "suffix" : "" }, { "dropping-particle" : "", "family" : "Lai", "given" : "Meng-Chuan", "non-dropping-particle" : "", "parse-names" : false, "suffix" : "" }, { "dropping-particle" : "", "family" : "Suckling", "given" : "John", "non-dropping-particle" : "", "parse-names" : false, "suffix" : "" }, { "dropping-particle" : "", "family" : "Palaniyappan", "given" : "Lena", "non-dropping-particle" : "", "parse-names" : false, "suffix" : "" }, { "dropping-particle" : "", "family" : "Daly", "given" : "Eileen", "non-dropping-particle" : "", "parse-names" : false, "suffix" : "" }, { "dropping-particle" : "", "family" : "Murphy", "given" : "Clodagh M", "non-dropping-particle" : "", "parse-names" : false, "suffix" : "" }, { "dropping-particle" : "", "family" : "Williams", "given" : "Steven C", "non-dropping-particle" : "", "parse-names" : false, "suffix" : "" }, { "dropping-particle" : "", "family" : "Bullmore", "given" : "Edward T", "non-dropping-particle" : "", "parse-names" : false, "suffix" : "" }, { "dropping-particle" : "", "family" : "Baron-Cohen", "given" : "Simon", "non-dropping-particle" : "", "parse-names" : false, "suffix" : "" }, { "dropping-particle" : "", "family" : "Brammer", "given" : "Michael", "non-dropping-particle" : "", "parse-names" : false, "suffix" : "" }, { "dropping-particle" : "", "family" : "Murphy", "given" : "Declan G M", "non-dropping-particle" : "", "parse-names" : false, "suffix" : "" } ], "container-title" : "JAMA psychiatry", "id" : "ITEM-1", "issue" : "1", "issued" : { "date-parts" : [ [ "2013", "1" ] ] }, "page" : "59-70", "title" : "Brain surface anatomy in adults with autism: the relationship between surface area, cortical thickness, and autistic symptoms.", "type" : "article-journal", "volume" : "70" }, "uris" : [ "http://www.mendeley.com/documents/?uuid=7a09f991-c810-478a-ae25-8f1feef63aa8" ] } ], "mendeley" : { "formattedCitation" : "(9)", "plainTextFormattedCitation" : "(9)", "previouslyFormattedCitation" : "(9)" }, "properties" : { "noteIndex" : 0 }, "schema" : "https://github.com/citation-style-language/schema/raw/master/csl-citation.json" }</w:instrText>
      </w:r>
      <w:r w:rsidR="00CC5A10" w:rsidRPr="00B44347">
        <w:rPr>
          <w:rFonts w:ascii="Arial" w:hAnsi="Arial" w:cs="Arial"/>
          <w:sz w:val="22"/>
          <w:szCs w:val="22"/>
        </w:rPr>
        <w:fldChar w:fldCharType="separate"/>
      </w:r>
      <w:r w:rsidR="00374870" w:rsidRPr="00374870">
        <w:rPr>
          <w:rFonts w:ascii="Arial" w:hAnsi="Arial" w:cs="Arial"/>
          <w:noProof/>
          <w:sz w:val="22"/>
          <w:szCs w:val="22"/>
        </w:rPr>
        <w:t>(9)</w:t>
      </w:r>
      <w:r w:rsidR="00CC5A10" w:rsidRPr="00B44347">
        <w:rPr>
          <w:rFonts w:ascii="Arial" w:hAnsi="Arial" w:cs="Arial"/>
          <w:sz w:val="22"/>
          <w:szCs w:val="22"/>
        </w:rPr>
        <w:fldChar w:fldCharType="end"/>
      </w:r>
      <w:r w:rsidR="00B44347" w:rsidRPr="00B44347">
        <w:rPr>
          <w:rFonts w:ascii="Arial" w:hAnsi="Arial" w:cs="Arial"/>
          <w:sz w:val="22"/>
          <w:szCs w:val="22"/>
        </w:rPr>
        <w:t xml:space="preserve"> and possibly different phylogenetic processes</w:t>
      </w:r>
      <w:r w:rsidR="00E90B20">
        <w:rPr>
          <w:rFonts w:ascii="Arial" w:hAnsi="Arial" w:cs="Arial"/>
          <w:sz w:val="22"/>
          <w:szCs w:val="22"/>
        </w:rPr>
        <w:t>, which could be affected by</w:t>
      </w:r>
      <w:r w:rsidR="00B44347" w:rsidRPr="00B44347">
        <w:rPr>
          <w:rFonts w:ascii="Arial" w:hAnsi="Arial" w:cs="Arial"/>
          <w:sz w:val="22"/>
          <w:szCs w:val="22"/>
        </w:rPr>
        <w:t xml:space="preserve"> early life stress. </w:t>
      </w:r>
      <w:r w:rsidR="00CC5A10" w:rsidRPr="00B44347">
        <w:rPr>
          <w:rFonts w:ascii="Arial" w:hAnsi="Arial" w:cs="Arial"/>
          <w:sz w:val="22"/>
          <w:szCs w:val="22"/>
        </w:rPr>
        <w:t>Our</w:t>
      </w:r>
      <w:r w:rsidR="00CC5A10" w:rsidRPr="00295F63">
        <w:rPr>
          <w:rFonts w:ascii="Arial" w:hAnsi="Arial" w:cs="Arial"/>
          <w:sz w:val="22"/>
          <w:szCs w:val="22"/>
        </w:rPr>
        <w:t xml:space="preserve"> findings also concur with reports suggesting that CT and SA are distinct neuroanatomical features that are mediated by different sets of genes</w:t>
      </w:r>
      <w:r w:rsidR="00CC5A10" w:rsidRPr="00295F63">
        <w:rPr>
          <w:rFonts w:ascii="Arial" w:hAnsi="Arial" w:cs="Arial"/>
          <w:sz w:val="22"/>
          <w:szCs w:val="22"/>
        </w:rPr>
        <w:fldChar w:fldCharType="begin" w:fldLock="1"/>
      </w:r>
      <w:r w:rsidR="00A408CF">
        <w:rPr>
          <w:rFonts w:ascii="Arial" w:hAnsi="Arial" w:cs="Arial"/>
          <w:sz w:val="22"/>
          <w:szCs w:val="22"/>
        </w:rPr>
        <w:instrText>ADDIN CSL_CITATION { "citationItems" : [ { "id" : "ITEM-1", "itemData" : { "DOI" : "10.1093/cercor/bhp026", "ISSN" : "1460-2199", "PMID" : "19299253", "abstract" : "Neuroimaging studies examining the effects of aging and neuropsychiatric disorders on the cerebral cortex have largely been based on measures of cortical volume. Given that cortical volume is a product of thickness and surface area, it is plausible that measures of volume capture at least 2 distinct sets of genetic influences. The present study aims to examine the genetic relationships between measures of cortical surface area and thickness. Participants were men in the Vietnam Era Twin Study of Aging (110 monozygotic pairs and 92 dizygotic pairs). Mean age was 55.8 years (range: 51-59). Bivariate twin analyses were utilized in order to estimate the heritability of cortical surface area and thickness, as well as their degree of genetic overlap. Total cortical surface area and average cortical thickness were both highly heritable (0.89 and 0.81, respectively) but were essentially unrelated genetically (genetic correlation = 0.08). This pattern was similar at the lobar and regional levels of analysis. These results demonstrate that cortical volume measures combine at least 2 distinct sources of genetic influences. We conclude that using volume in a genetically informative study, or as an endophenotype for a disorder, may confound the underlying genetic architecture of brain structure.", "author" : [ { "dropping-particle" : "", "family" : "Panizzon", "given" : "Matthew S", "non-dropping-particle" : "", "parse-names" : false, "suffix" : "" }, { "dropping-particle" : "", "family" : "Fennema-Notestine", "given" : "Christine", "non-dropping-particle" : "", "parse-names" : false, "suffix" : "" }, { "dropping-particle" : "", "family" : "Eyler", "given" : "Lisa T", "non-dropping-particle" : "", "parse-names" : false, "suffix" : "" }, { "dropping-particle" : "", "family" : "Jernigan", "given" : "Terry L", "non-dropping-particle" : "", "parse-names" : false, "suffix" : "" }, { "dropping-particle" : "", "family" : "Prom-Wormley", "given" : "Elizabeth", "non-dropping-particle" : "", "parse-names" : false, "suffix" : "" }, { "dropping-particle" : "", "family" : "Neale", "given" : "Michael", "non-dropping-particle" : "", "parse-names" : false, "suffix" : "" }, { "dropping-particle" : "", "family" : "Jacobson", "given" : "Kristen", "non-dropping-particle" : "", "parse-names" : false, "suffix" : "" }, { "dropping-particle" : "", "family" : "Lyons", "given" : "Michael J", "non-dropping-particle" : "", "parse-names" : false, "suffix" : "" }, { "dropping-particle" : "", "family" : "Grant", "given" : "Michael D", "non-dropping-particle" : "", "parse-names" : false, "suffix" : "" }, { "dropping-particle" : "", "family" : "Franz", "given" : "Carol E", "non-dropping-particle" : "", "parse-names" : false, "suffix" : "" }, { "dropping-particle" : "", "family" : "Xian", "given" : "Hong", "non-dropping-particle" : "", "parse-names" : false, "suffix" : "" }, { "dropping-particle" : "", "family" : "Tsuang", "given" : "Ming", "non-dropping-particle" : "", "parse-names" : false, "suffix" : "" }, { "dropping-particle" : "", "family" : "Fischl", "given" : "Bruce", "non-dropping-particle" : "", "parse-names" : false, "suffix" : "" }, { "dropping-particle" : "", "family" : "Seidman", "given" : "Larry", "non-dropping-particle" : "", "parse-names" : false, "suffix" : "" }, { "dropping-particle" : "", "family" : "Dale", "given" : "Anders", "non-dropping-particle" : "", "parse-names" : false, "suffix" : "" }, { "dropping-particle" : "", "family" : "Kremen", "given" : "William S", "non-dropping-particle" : "", "parse-names" : false, "suffix" : "" } ], "container-title" : "Cerebral cortex (New York, N.Y. : 1991)", "id" : "ITEM-1", "issue" : "11", "issued" : { "date-parts" : [ [ "2009", "11" ] ] }, "page" : "2728-35", "title" : "Distinct genetic influences on cortical surface area and cortical thickness.", "type" : "article-journal", "volume" : "19" }, "uris" : [ "http://www.mendeley.com/documents/?uuid=ccbf7118-402e-4d4a-964f-d774eada1de8" ] } ], "mendeley" : { "formattedCitation" : "(19)", "plainTextFormattedCitation" : "(19)", "previouslyFormattedCitation" : "(19)" }, "properties" : { "noteIndex" : 0 }, "schema" : "https://github.com/citation-style-language/schema/raw/master/csl-citation.json" }</w:instrText>
      </w:r>
      <w:r w:rsidR="00CC5A10" w:rsidRPr="00295F63">
        <w:rPr>
          <w:rFonts w:ascii="Arial" w:hAnsi="Arial" w:cs="Arial"/>
          <w:sz w:val="22"/>
          <w:szCs w:val="22"/>
        </w:rPr>
        <w:fldChar w:fldCharType="separate"/>
      </w:r>
      <w:r w:rsidR="00521D67" w:rsidRPr="00521D67">
        <w:rPr>
          <w:rFonts w:ascii="Arial" w:hAnsi="Arial" w:cs="Arial"/>
          <w:noProof/>
          <w:sz w:val="22"/>
          <w:szCs w:val="22"/>
        </w:rPr>
        <w:t>(19)</w:t>
      </w:r>
      <w:r w:rsidR="00CC5A10" w:rsidRPr="00295F63">
        <w:rPr>
          <w:rFonts w:ascii="Arial" w:hAnsi="Arial" w:cs="Arial"/>
          <w:sz w:val="22"/>
          <w:szCs w:val="22"/>
        </w:rPr>
        <w:fldChar w:fldCharType="end"/>
      </w:r>
      <w:r w:rsidR="00CC5A10" w:rsidRPr="00295F63">
        <w:rPr>
          <w:rFonts w:ascii="Arial" w:hAnsi="Arial" w:cs="Arial"/>
          <w:sz w:val="22"/>
          <w:szCs w:val="22"/>
        </w:rPr>
        <w:t xml:space="preserve"> and – in the mature brain – reflect distinct aspects of the cortical architecture</w:t>
      </w:r>
      <w:r w:rsidR="00CC5A10" w:rsidRPr="00295F63">
        <w:rPr>
          <w:rFonts w:ascii="Arial" w:hAnsi="Arial" w:cs="Arial"/>
          <w:sz w:val="22"/>
          <w:szCs w:val="22"/>
        </w:rPr>
        <w:fldChar w:fldCharType="begin" w:fldLock="1"/>
      </w:r>
      <w:r w:rsidR="00A408CF">
        <w:rPr>
          <w:rFonts w:ascii="Arial" w:hAnsi="Arial" w:cs="Arial"/>
          <w:sz w:val="22"/>
          <w:szCs w:val="22"/>
        </w:rPr>
        <w:instrText>ADDIN CSL_CITATION { "citationItems" : [ { "id" : "ITEM-1", "itemData" : { "DOI" : "10.1016/j.neuron.2013.10.045", "ISSN" : "1097-4199", "PMID" : "24183016", "abstract" : "To understand the emergence of human higher cognition, we must understand its biological substrate--the cerebral cortex, which considers itself the crowning achievement of evolution. Here, we describe how advances in developmental neurobiology, coupled with those in genetics, including adaptive protein evolution via gene duplications and the emergence of novel regulatory elements, can provide insights into the evolutionary mechanisms culminating in the human cerebrum. Given that the massive expansion of the cortical surface and elaboration of its connections in humans originates from developmental events, understanding the genetic regulation of cell number, neuronal migration to proper layers, columns, and regions, and ultimately their differentiation into specific phenotypes, is critical. The pre- and postnatal environment also interacts with the cellular substrate to yield a basic network that is refined via selection and elimination of synaptic connections, a process that is prolonged in humans. This knowledge provides essential insight into the pathogenesis of human-specific neuropsychiatric disorders.", "author" : [ { "dropping-particle" : "", "family" : "Geschwind", "given" : "Daniel H", "non-dropping-particle" : "", "parse-names" : false, "suffix" : "" }, { "dropping-particle" : "", "family" : "Rakic", "given" : "Pasko", "non-dropping-particle" : "", "parse-names" : false, "suffix" : "" } ], "container-title" : "Neuron", "id" : "ITEM-1", "issue" : "3", "issued" : { "date-parts" : [ [ "2013", "10", "30" ] ] }, "page" : "633-47", "title" : "Cortical evolution: judge the brain by its cover.", "type" : "article-journal", "volume" : "80" }, "uris" : [ "http://www.mendeley.com/documents/?uuid=abdc47d8-888d-46b2-ad38-cb215310ecbb" ] } ], "mendeley" : { "formattedCitation" : "(18)", "plainTextFormattedCitation" : "(18)", "previouslyFormattedCitation" : "(18)" }, "properties" : { "noteIndex" : 0 }, "schema" : "https://github.com/citation-style-language/schema/raw/master/csl-citation.json" }</w:instrText>
      </w:r>
      <w:r w:rsidR="00CC5A10" w:rsidRPr="00295F63">
        <w:rPr>
          <w:rFonts w:ascii="Arial" w:hAnsi="Arial" w:cs="Arial"/>
          <w:sz w:val="22"/>
          <w:szCs w:val="22"/>
        </w:rPr>
        <w:fldChar w:fldCharType="separate"/>
      </w:r>
      <w:r w:rsidR="00521D67" w:rsidRPr="00521D67">
        <w:rPr>
          <w:rFonts w:ascii="Arial" w:hAnsi="Arial" w:cs="Arial"/>
          <w:noProof/>
          <w:sz w:val="22"/>
          <w:szCs w:val="22"/>
        </w:rPr>
        <w:t>(18)</w:t>
      </w:r>
      <w:r w:rsidR="00CC5A10" w:rsidRPr="00295F63">
        <w:rPr>
          <w:rFonts w:ascii="Arial" w:hAnsi="Arial" w:cs="Arial"/>
          <w:sz w:val="22"/>
          <w:szCs w:val="22"/>
        </w:rPr>
        <w:fldChar w:fldCharType="end"/>
      </w:r>
      <w:r w:rsidR="00CC5A10" w:rsidRPr="00295F63">
        <w:rPr>
          <w:rFonts w:ascii="Arial" w:hAnsi="Arial" w:cs="Arial"/>
          <w:sz w:val="22"/>
          <w:szCs w:val="22"/>
        </w:rPr>
        <w:t>. For instance, the radial unit hypothesis (RUH</w:t>
      </w:r>
      <w:r w:rsidR="00CC5A10" w:rsidRPr="00295F63">
        <w:rPr>
          <w:rFonts w:ascii="Arial" w:hAnsi="Arial" w:cs="Arial"/>
          <w:sz w:val="22"/>
          <w:szCs w:val="22"/>
        </w:rPr>
        <w:fldChar w:fldCharType="begin" w:fldLock="1"/>
      </w:r>
      <w:r w:rsidR="004125B9">
        <w:rPr>
          <w:rFonts w:ascii="Arial" w:hAnsi="Arial" w:cs="Arial"/>
          <w:sz w:val="22"/>
          <w:szCs w:val="22"/>
        </w:rPr>
        <w:instrText>ADDIN CSL_CITATION { "citationItems" : [ { "id" : "ITEM-1", "itemData" : { "ISSN" : "0166-2236", "PMID" : "7482803", "abstract" : "The more than 1000-fold increase in the cortical surface without a comparable increase in its thickness during mammalian evolution is explained in the context of the radial-unit hypothesis of cortical development. According to the proposed model, cortical expansion is the result of changes in proliferation kinetics that increase the number of radial columnar units without changing the number of neurons within each unit significantly. Thus, mutation of a regulatory gene(s) that controls the timing and ratio of symmetric and asymmetric modes of cell divisions in the proliferative zone, coupled with radial constraints in the distribution of migrating neurons, could create an expanded cortical plate with enhanced capacity for establishing new patterns of connectivity that are validated through natural selection.", "author" : [ { "dropping-particle" : "", "family" : "Rakic", "given" : "P", "non-dropping-particle" : "", "parse-names" : false, "suffix" : "" } ], "container-title" : "Trends in neurosciences", "id" : "ITEM-1", "issue" : "9", "issued" : { "date-parts" : [ [ "1995", "9" ] ] }, "page" : "383-8", "title" : "A small step for the cell, a giant leap for mankind: a hypothesis of neocortical expansion during evolution.", "type" : "article-journal", "volume" : "18" }, "uris" : [ "http://www.mendeley.com/documents/?uuid=54018c00-42c9-43d0-848b-08668c3f2b32" ] } ], "mendeley" : { "formattedCitation" : "(43)", "plainTextFormattedCitation" : "(43)", "previouslyFormattedCitation" : "(43)" }, "properties" : { "noteIndex" : 0 }, "schema" : "https://github.com/citation-style-language/schema/raw/master/csl-citation.json" }</w:instrText>
      </w:r>
      <w:r w:rsidR="00CC5A10" w:rsidRPr="00295F63">
        <w:rPr>
          <w:rFonts w:ascii="Arial" w:hAnsi="Arial" w:cs="Arial"/>
          <w:sz w:val="22"/>
          <w:szCs w:val="22"/>
        </w:rPr>
        <w:fldChar w:fldCharType="separate"/>
      </w:r>
      <w:r w:rsidR="00404909" w:rsidRPr="00404909">
        <w:rPr>
          <w:rFonts w:ascii="Arial" w:hAnsi="Arial" w:cs="Arial"/>
          <w:noProof/>
          <w:sz w:val="22"/>
          <w:szCs w:val="22"/>
        </w:rPr>
        <w:t>(43)</w:t>
      </w:r>
      <w:r w:rsidR="00CC5A10" w:rsidRPr="00295F63">
        <w:rPr>
          <w:rFonts w:ascii="Arial" w:hAnsi="Arial" w:cs="Arial"/>
          <w:sz w:val="22"/>
          <w:szCs w:val="22"/>
        </w:rPr>
        <w:fldChar w:fldCharType="end"/>
      </w:r>
      <w:r w:rsidR="00CC5A10" w:rsidRPr="00295F63">
        <w:rPr>
          <w:rFonts w:ascii="Arial" w:hAnsi="Arial" w:cs="Arial"/>
          <w:sz w:val="22"/>
          <w:szCs w:val="22"/>
        </w:rPr>
        <w:t>) links the size of the cortical surface to the number of radial units (or mini-columns) in the brain, while cortical thickness is more closely related to the number of cells within mini-columns</w:t>
      </w:r>
      <w:r w:rsidR="00CC5A10" w:rsidRPr="00295F63">
        <w:rPr>
          <w:rFonts w:ascii="Arial" w:hAnsi="Arial" w:cs="Arial"/>
          <w:sz w:val="22"/>
          <w:szCs w:val="22"/>
        </w:rPr>
        <w:fldChar w:fldCharType="begin" w:fldLock="1"/>
      </w:r>
      <w:r w:rsidR="00A408CF">
        <w:rPr>
          <w:rFonts w:ascii="Arial" w:hAnsi="Arial" w:cs="Arial"/>
          <w:sz w:val="22"/>
          <w:szCs w:val="22"/>
        </w:rPr>
        <w:instrText>ADDIN CSL_CITATION { "citationItems" : [ { "id" : "ITEM-1", "itemData" : { "DOI" : "10.1016/j.neuron.2013.10.045", "ISSN" : "1097-4199", "PMID" : "24183016", "abstract" : "To understand the emergence of human higher cognition, we must understand its biological substrate--the cerebral cortex, which considers itself the crowning achievement of evolution. Here, we describe how advances in developmental neurobiology, coupled with those in genetics, including adaptive protein evolution via gene duplications and the emergence of novel regulatory elements, can provide insights into the evolutionary mechanisms culminating in the human cerebrum. Given that the massive expansion of the cortical surface and elaboration of its connections in humans originates from developmental events, understanding the genetic regulation of cell number, neuronal migration to proper layers, columns, and regions, and ultimately their differentiation into specific phenotypes, is critical. The pre- and postnatal environment also interacts with the cellular substrate to yield a basic network that is refined via selection and elimination of synaptic connections, a process that is prolonged in humans. This knowledge provides essential insight into the pathogenesis of human-specific neuropsychiatric disorders.", "author" : [ { "dropping-particle" : "", "family" : "Geschwind", "given" : "Daniel H", "non-dropping-particle" : "", "parse-names" : false, "suffix" : "" }, { "dropping-particle" : "", "family" : "Rakic", "given" : "Pasko", "non-dropping-particle" : "", "parse-names" : false, "suffix" : "" } ], "container-title" : "Neuron", "id" : "ITEM-1", "issue" : "3", "issued" : { "date-parts" : [ [ "2013", "10", "30" ] ] }, "page" : "633-47", "title" : "Cortical evolution: judge the brain by its cover.", "type" : "article-journal", "volume" : "80" }, "uris" : [ "http://www.mendeley.com/documents/?uuid=abdc47d8-888d-46b2-ad38-cb215310ecbb" ] } ], "mendeley" : { "formattedCitation" : "(18)", "plainTextFormattedCitation" : "(18)", "previouslyFormattedCitation" : "(18)" }, "properties" : { "noteIndex" : 0 }, "schema" : "https://github.com/citation-style-language/schema/raw/master/csl-citation.json" }</w:instrText>
      </w:r>
      <w:r w:rsidR="00CC5A10" w:rsidRPr="00295F63">
        <w:rPr>
          <w:rFonts w:ascii="Arial" w:hAnsi="Arial" w:cs="Arial"/>
          <w:sz w:val="22"/>
          <w:szCs w:val="22"/>
        </w:rPr>
        <w:fldChar w:fldCharType="separate"/>
      </w:r>
      <w:r w:rsidR="00521D67" w:rsidRPr="00521D67">
        <w:rPr>
          <w:rFonts w:ascii="Arial" w:hAnsi="Arial" w:cs="Arial"/>
          <w:noProof/>
          <w:sz w:val="22"/>
          <w:szCs w:val="22"/>
        </w:rPr>
        <w:t>(18)</w:t>
      </w:r>
      <w:r w:rsidR="00CC5A10" w:rsidRPr="00295F63">
        <w:rPr>
          <w:rFonts w:ascii="Arial" w:hAnsi="Arial" w:cs="Arial"/>
          <w:sz w:val="22"/>
          <w:szCs w:val="22"/>
        </w:rPr>
        <w:fldChar w:fldCharType="end"/>
      </w:r>
      <w:r w:rsidR="00CC5A10" w:rsidRPr="00295F63">
        <w:rPr>
          <w:rFonts w:ascii="Arial" w:hAnsi="Arial" w:cs="Arial"/>
          <w:sz w:val="22"/>
          <w:szCs w:val="22"/>
        </w:rPr>
        <w:t>. CT and SA may therefore result from distinct neurodevelopmental trajectories</w:t>
      </w:r>
      <w:r w:rsidR="00CC5A10" w:rsidRPr="00295F63">
        <w:rPr>
          <w:rFonts w:ascii="Arial" w:hAnsi="Arial" w:cs="Arial"/>
          <w:sz w:val="22"/>
          <w:szCs w:val="22"/>
        </w:rPr>
        <w:fldChar w:fldCharType="begin" w:fldLock="1"/>
      </w:r>
      <w:r w:rsidR="00A408CF">
        <w:rPr>
          <w:rFonts w:ascii="Arial" w:hAnsi="Arial" w:cs="Arial"/>
          <w:sz w:val="22"/>
          <w:szCs w:val="22"/>
        </w:rPr>
        <w:instrText>ADDIN CSL_CITATION { "citationItems" : [ { "id" : "ITEM-1", "itemData" : { "DOI" : "10.1007/s00702-014-1207-1", "ISSN" : "1435-1463", "PMID" : "24752753", "abstract" : "Autism spectrum disorder (ASD) is a lifelong neurodevelopmental condition that is accompanied by an atypical development of brain maturation. So far, brain development has mainly been studied during early childhood in ASD, and using measures of total or lobular brain volume. However, cortical volumetric measures are a product of two distinct biological neuroanatomical features, cortical thickness, and surface area, which most likely also have different neurodevelopmental trajectories in ASD. Here, we therefore examined age-related differences in cortical thickness and surface area in a cross-sectional sample of 77 male individuals with ASD ranging from 7 to 25 years of age, and 77 male neurotypical controls matched for age and FSIQ. Surface-based measures were analyzed using a general linear model (GLM) including linear, quadratic, and cubic age terms, as well as their interactions with the main effect of group. When controlling for the effects of age, individuals with ASD had spatially distributed reductions in cortical thickness relative to controls, particularly in fronto-temporal regions, and also showed significantly reduced surface area in the prefrontal cortex and the anterior temporal lobe. We also observed significant group \u00d7 age interactions for both measures. However, while cortical thickness was best predicted by a quadratic age term, the neurodevelopmental trajectory for measures of surface area was mostly linear. Our findings suggest that ASD is accompanied by age-related and region-specific reductions in cortical thickness and surface area during childhood and early adulthood. Thus, differences in the neurodevelopmental trajectory of maturation for both measures need to be taken into account when interpreting between-group differences overall.", "author" : [ { "dropping-particle" : "", "family" : "Ecker", "given" : "C", "non-dropping-particle" : "", "parse-names" : false, "suffix" : "" }, { "dropping-particle" : "", "family" : "Shahidiani", "given" : "A", "non-dropping-particle" : "", "parse-names" : false, "suffix" : "" }, { "dropping-particle" : "", "family" : "Feng", "given" : "Y", "non-dropping-particle" : "", "parse-names" : false, "suffix" : "" }, { "dropping-particle" : "", "family" : "Daly", "given" : "E", "non-dropping-particle" : "", "parse-names" : false, "suffix" : "" }, { "dropping-particle" : "", "family" : "Murphy", "given" : "C", "non-dropping-particle" : "", "parse-names" : false, "suffix" : "" }, { "dropping-particle" : "", "family" : "D'Almeida", "given" : "V", "non-dropping-particle" : "", "parse-names" : false, "suffix" : "" }, { "dropping-particle" : "", "family" : "Deoni", "given" : "S", "non-dropping-particle" : "", "parse-names" : false, "suffix" : "" }, { "dropping-particle" : "", "family" : "Williams", "given" : "S C", "non-dropping-particle" : "", "parse-names" : false, "suffix" : "" }, { "dropping-particle" : "", "family" : "Gillan", "given" : "N", "non-dropping-particle" : "", "parse-names" : false, "suffix" : "" }, { "dropping-particle" : "", "family" : "Gudbrandsen", "given" : "M", "non-dropping-particle" : "", "parse-names" : false, "suffix" : "" }, { "dropping-particle" : "", "family" : "Wichers", "given" : "R", "non-dropping-particle" : "", "parse-names" : false, "suffix" : "" }, { "dropping-particle" : "", "family" : "Andrews", "given" : "D", "non-dropping-particle" : "", "parse-names" : false, "suffix" : "" }, { "dropping-particle" : "", "family" : "Hemert", "given" : "L", "non-dropping-particle" : "Van", "parse-names" : false, "suffix" : "" }, { "dropping-particle" : "", "family" : "Murphy", "given" : "D G M", "non-dropping-particle" : "", "parse-names" : false, "suffix" : "" } ], "container-title" : "Journal of neural transmission (Vienna, Austria : 1996)", "id" : "ITEM-1", "issue" : "9", "issued" : { "date-parts" : [ [ "2014", "9" ] ] }, "page" : "1157-70", "title" : "The effect of age, diagnosis, and their interaction on vertex-based measures of cortical thickness and surface area in autism spectrum disorder.", "type" : "article-journal", "volume" : "121" }, "uris" : [ "http://www.mendeley.com/documents/?uuid=dd4774d2-bbf0-41aa-b70a-7f6c9f77b455" ] } ], "mendeley" : { "formattedCitation" : "(21)", "plainTextFormattedCitation" : "(21)", "previouslyFormattedCitation" : "(21)" }, "properties" : { "noteIndex" : 0 }, "schema" : "https://github.com/citation-style-language/schema/raw/master/csl-citation.json" }</w:instrText>
      </w:r>
      <w:r w:rsidR="00CC5A10" w:rsidRPr="00295F63">
        <w:rPr>
          <w:rFonts w:ascii="Arial" w:hAnsi="Arial" w:cs="Arial"/>
          <w:sz w:val="22"/>
          <w:szCs w:val="22"/>
        </w:rPr>
        <w:fldChar w:fldCharType="separate"/>
      </w:r>
      <w:r w:rsidR="00521D67" w:rsidRPr="00521D67">
        <w:rPr>
          <w:rFonts w:ascii="Arial" w:hAnsi="Arial" w:cs="Arial"/>
          <w:noProof/>
          <w:sz w:val="22"/>
          <w:szCs w:val="22"/>
        </w:rPr>
        <w:t>(21)</w:t>
      </w:r>
      <w:r w:rsidR="00CC5A10" w:rsidRPr="00295F63">
        <w:rPr>
          <w:rFonts w:ascii="Arial" w:hAnsi="Arial" w:cs="Arial"/>
          <w:sz w:val="22"/>
          <w:szCs w:val="22"/>
        </w:rPr>
        <w:fldChar w:fldCharType="end"/>
      </w:r>
      <w:r w:rsidR="00CC5A10" w:rsidRPr="00295F63">
        <w:rPr>
          <w:rFonts w:ascii="Arial" w:hAnsi="Arial" w:cs="Arial"/>
          <w:sz w:val="22"/>
          <w:szCs w:val="22"/>
        </w:rPr>
        <w:t xml:space="preserve"> that are possibly modulated by different neurobiological mechanisms under the influence of the early life </w:t>
      </w:r>
      <w:r w:rsidR="00CC5A10" w:rsidRPr="000D7C6E">
        <w:rPr>
          <w:rFonts w:ascii="Arial" w:hAnsi="Arial" w:cs="Arial"/>
          <w:sz w:val="22"/>
          <w:szCs w:val="22"/>
        </w:rPr>
        <w:t>environment</w:t>
      </w:r>
      <w:r w:rsidR="00CC5A10" w:rsidRPr="000D7C6E">
        <w:rPr>
          <w:rFonts w:ascii="Arial" w:hAnsi="Arial" w:cs="Arial"/>
          <w:sz w:val="22"/>
          <w:szCs w:val="22"/>
        </w:rPr>
        <w:fldChar w:fldCharType="begin" w:fldLock="1"/>
      </w:r>
      <w:r w:rsidR="004125B9">
        <w:rPr>
          <w:rFonts w:ascii="Arial" w:hAnsi="Arial" w:cs="Arial"/>
          <w:sz w:val="22"/>
          <w:szCs w:val="22"/>
        </w:rPr>
        <w:instrText>ADDIN CSL_CITATION { "citationItems" : [ { "id" : "ITEM-1", "itemData" : { "DOI" : "10.1017/S003329171400292X", "ISSN" : "0033-2917", "PMID" : "25499574", "abstract" : "BACKGROUND: Reduced cortical gray-matter volume is commonly observed in patients with psychosis. Cortical volume is a composite measure that includes surface area, thickness and gyrification. These three indices show distinct maturational patterns and may be differentially affected by early adverse events. The study goal was to determine the impact of two distinct obstetrical complications (OCs) on cortical morphology. METHOD: A detailed birth history and MRI scans were obtained for 36 patients with first-episode psychosis and 16 healthy volunteers. RESULTS: Perinatal hypoxia and slow fetal growth were associated with cortical volume (Cohen's d = 0.76 and d = 0.89, respectively) in patients. However, the pattern of associations differed across the three components of cortical volume. Both hypoxia and fetal growth were associated with cortical surface area (d = 0.88 and d = 0.72, respectively), neither of these two OCs was related to cortical thickness, and hypoxia but not fetal growth was associated with gyrification (d = 0.85). No significant associations were found within the control sample. CONCLUSIONS: Cortical dysmorphology was associated with OCs. The use of a global measure of cortical morphology or a global measure of OCs obscured important relationships between these measures. Gyrification is complete before 2 years and its strong relationship with hypoxia suggests an early disruption to brain development. Cortical thickness matures later and, consistent with previous research, we found no association between thickness and OCs. Finally, cortical surface area is largely complete by puberty and the present results suggest that events during childhood do not fully compensate for the effects of early disruptive events.", "author" : [ { "dropping-particle" : "", "family" : "Smith", "given" : "G. N.", "non-dropping-particle" : "", "parse-names" : false, "suffix" : "" }, { "dropping-particle" : "", "family" : "Thornton", "given" : "A. E.", "non-dropping-particle" : "", "parse-names" : false, "suffix" : "" }, { "dropping-particle" : "", "family" : "Lang", "given" : "D. J.", "non-dropping-particle" : "", "parse-names" : false, "suffix" : "" }, { "dropping-particle" : "", "family" : "MacEwan", "given" : "G. W.", "non-dropping-particle" : "", "parse-names" : false, "suffix" : "" }, { "dropping-particle" : "", "family" : "Kopala", "given" : "L. C.", "non-dropping-particle" : "", "parse-names" : false, "suffix" : "" }, { "dropping-particle" : "", "family" : "Su", "given" : "W.", "non-dropping-particle" : "", "parse-names" : false, "suffix" : "" }, { "dropping-particle" : "", "family" : "Honer", "given" : "W. G.", "non-dropping-particle" : "", "parse-names" : false, "suffix" : "" } ], "container-title" : "Psychological Medicine", "id" : "ITEM-1", "issue" : "09", "issued" : { "date-parts" : [ [ "2014", "12", "11" ] ] }, "page" : "1825-1837", "title" : "Cortical morphology and early adverse birth events in men with first-episode psychosis", "type" : "article-journal", "volume" : "45" }, "uris" : [ "http://www.mendeley.com/documents/?uuid=2807fd3e-b29f-4768-8fd1-c4ef31072eb1" ] }, { "id" : "ITEM-2", "itemData" : { "DOI" : "10.1038/ncomms10967", "ISSN" : "2041-1723", "PMID" : "26997371", "abstract" : "DNA methylation likely plays a role in the regulation of human stress reactivity. Here we show that in a genome-wide analysis of blood DNA methylation in 85 healthy individuals, a locus in the Kit ligand gene (KITLG; cg27512205) showed the strongest association with cortisol stress reactivity (P=5.8 \u00d7 10(-6)). Replication was obtained in two independent samples using either blood (N=45, P=0.001) or buccal cells (N=255, P=0.004). KITLG methylation strongly mediates the relationship between childhood trauma and cortisol stress reactivity in the discovery sample (32% mediation). Its genomic location, a CpG island shore within an H3K27ac enhancer mark, and the correlation between methylation in the blood and prefrontal cortex provide further evidence that KITLG methylation is functionally relevant for the programming of stress reactivity in the human brain. Our results extend preclinical evidence for epigenetic regulation of stress reactivity to humans and provide leads to enhance our understanding of the neurobiological pathways underlying stress vulnerability.", "author" : [ { "dropping-particle" : "", "family" : "Houtepen", "given" : "Lotte C", "non-dropping-particle" : "", "parse-names" : false, "suffix" : "" }, { "dropping-particle" : "", "family" : "Vinkers", "given" : "Christiaan H", "non-dropping-particle" : "", "parse-names" : false, "suffix" : "" }, { "dropping-particle" : "", "family" : "Carrillo-Roa", "given" : "Tania", "non-dropping-particle" : "", "parse-names" : false, "suffix" : "" }, { "dropping-particle" : "", "family" : "Hiemstra", "given" : "Marieke", "non-dropping-particle" : "", "parse-names" : false, "suffix" : "" }, { "dropping-particle" : "", "family" : "Lier", "given" : "Pol A", "non-dropping-particle" : "van", "parse-names" : false, "suffix" : "" }, { "dropping-particle" : "", "family" : "Meeus", "given" : "Wim", "non-dropping-particle" : "", "parse-names" : false, "suffix" : "" }, { "dropping-particle" : "", "family" : "Branje", "given" : "Susan", "non-dropping-particle" : "", "parse-names" : false, "suffix" : "" }, { "dropping-particle" : "", "family" : "Heim", "given" : "Christine M", "non-dropping-particle" : "", "parse-names" : false, "suffix" : "" }, { "dropping-particle" : "", "family" : "Nemeroff", "given" : "Charles B", "non-dropping-particle" : "", "parse-names" : false, "suffix" : "" }, { "dropping-particle" : "", "family" : "Mill", "given" : "Jonathan", "non-dropping-particle" : "", "parse-names" : false, "suffix" : "" }, { "dropping-particle" : "", "family" : "Schalkwyk", "given" : "Leonard C", "non-dropping-particle" : "", "parse-names" : false, "suffix" : "" }, { "dropping-particle" : "", "family" : "Creyghton", "given" : "Menno P", "non-dropping-particle" : "", "parse-names" : false, "suffix" : "" }, { "dropping-particle" : "", "family" : "Kahn", "given" : "Ren\u00e9 S", "non-dropping-particle" : "", "parse-names" : false, "suffix" : "" }, { "dropping-particle" : "", "family" : "Jo\u00ebls", "given" : "Marian", "non-dropping-particle" : "", "parse-names" : false, "suffix" : "" }, { "dropping-particle" : "", "family" : "Binder", "given" : "Elisabeth B", "non-dropping-particle" : "", "parse-names" : false, "suffix" : "" }, { "dropping-particle" : "", "family" : "Boks", "given" : "Marco P M", "non-dropping-particle" : "", "parse-names" : false, "suffix" : "" } ], "container-title" : "Nature communications", "id" : "ITEM-2", "issued" : { "date-parts" : [ [ "2016", "1" ] ] }, "page" : "10967", "title" : "Genome-wide DNA methylation levels and altered cortisol stress reactivity following childhood trauma in humans.", "type" : "article-journal", "volume" : "7" }, "uris" : [ "http://www.mendeley.com/documents/?uuid=2dcd1c3e-7742-492e-bc1e-68b78a44b43a" ] } ], "mendeley" : { "formattedCitation" : "(8,44)", "plainTextFormattedCitation" : "(8,44)", "previouslyFormattedCitation" : "(8,44)" }, "properties" : { "noteIndex" : 0 }, "schema" : "https://github.com/citation-style-language/schema/raw/master/csl-citation.json" }</w:instrText>
      </w:r>
      <w:r w:rsidR="00CC5A10" w:rsidRPr="000D7C6E">
        <w:rPr>
          <w:rFonts w:ascii="Arial" w:hAnsi="Arial" w:cs="Arial"/>
          <w:sz w:val="22"/>
          <w:szCs w:val="22"/>
        </w:rPr>
        <w:fldChar w:fldCharType="separate"/>
      </w:r>
      <w:r w:rsidR="00404909" w:rsidRPr="00404909">
        <w:rPr>
          <w:rFonts w:ascii="Arial" w:hAnsi="Arial" w:cs="Arial"/>
          <w:noProof/>
          <w:sz w:val="22"/>
          <w:szCs w:val="22"/>
        </w:rPr>
        <w:t>(8,44)</w:t>
      </w:r>
      <w:r w:rsidR="00CC5A10" w:rsidRPr="000D7C6E">
        <w:rPr>
          <w:rFonts w:ascii="Arial" w:hAnsi="Arial" w:cs="Arial"/>
          <w:sz w:val="22"/>
          <w:szCs w:val="22"/>
        </w:rPr>
        <w:fldChar w:fldCharType="end"/>
      </w:r>
      <w:r w:rsidR="00CC5A10" w:rsidRPr="000D7C6E">
        <w:rPr>
          <w:rFonts w:ascii="Arial" w:hAnsi="Arial" w:cs="Arial"/>
          <w:sz w:val="22"/>
          <w:szCs w:val="22"/>
        </w:rPr>
        <w:t>.</w:t>
      </w:r>
      <w:r w:rsidR="00B44347" w:rsidRPr="000D7C6E">
        <w:rPr>
          <w:rFonts w:ascii="Arial" w:hAnsi="Arial" w:cs="Arial"/>
          <w:sz w:val="22"/>
          <w:szCs w:val="22"/>
        </w:rPr>
        <w:t xml:space="preserve"> </w:t>
      </w:r>
    </w:p>
    <w:p w14:paraId="483C5C4E" w14:textId="3092B211" w:rsidR="00FD58D5" w:rsidRPr="008C3C74" w:rsidRDefault="00050EE0" w:rsidP="008C3C74">
      <w:pPr>
        <w:pStyle w:val="Default"/>
        <w:spacing w:line="360" w:lineRule="auto"/>
        <w:ind w:right="278"/>
        <w:rPr>
          <w:rFonts w:ascii="Arial" w:hAnsi="Arial" w:cs="Arial"/>
        </w:rPr>
      </w:pPr>
      <w:r w:rsidRPr="000D7C6E">
        <w:rPr>
          <w:rFonts w:ascii="Arial" w:hAnsi="Arial" w:cs="Arial"/>
        </w:rPr>
        <w:tab/>
      </w:r>
      <w:r w:rsidRPr="00D41B5B">
        <w:rPr>
          <w:rFonts w:ascii="Arial" w:hAnsi="Arial" w:cs="Arial"/>
        </w:rPr>
        <w:t>Furthermore, w</w:t>
      </w:r>
      <w:r w:rsidR="00B44347" w:rsidRPr="00D41B5B">
        <w:rPr>
          <w:rFonts w:ascii="Arial" w:hAnsi="Arial" w:cs="Arial"/>
        </w:rPr>
        <w:t xml:space="preserve">e </w:t>
      </w:r>
      <w:r w:rsidR="00FD5EA2" w:rsidRPr="00D41B5B">
        <w:rPr>
          <w:rFonts w:ascii="Arial" w:hAnsi="Arial" w:cs="Arial"/>
        </w:rPr>
        <w:t xml:space="preserve">found that </w:t>
      </w:r>
      <w:r w:rsidR="00B44347" w:rsidRPr="00D41B5B">
        <w:rPr>
          <w:rFonts w:ascii="Arial" w:hAnsi="Arial" w:cs="Arial"/>
        </w:rPr>
        <w:t xml:space="preserve">CT and SA </w:t>
      </w:r>
      <w:r w:rsidR="00FD5EA2" w:rsidRPr="00D41B5B">
        <w:rPr>
          <w:rFonts w:ascii="Arial" w:hAnsi="Arial" w:cs="Arial"/>
        </w:rPr>
        <w:t xml:space="preserve">contributed </w:t>
      </w:r>
      <w:r w:rsidR="000A3AA0" w:rsidRPr="00D41B5B">
        <w:rPr>
          <w:rFonts w:ascii="Arial" w:hAnsi="Arial" w:cs="Arial"/>
        </w:rPr>
        <w:t xml:space="preserve">similarly </w:t>
      </w:r>
      <w:r w:rsidR="00FD5EA2" w:rsidRPr="00D41B5B">
        <w:rPr>
          <w:rFonts w:ascii="Arial" w:hAnsi="Arial" w:cs="Arial"/>
        </w:rPr>
        <w:t xml:space="preserve">to the differences </w:t>
      </w:r>
      <w:r w:rsidR="00831A7B" w:rsidRPr="00D41B5B">
        <w:rPr>
          <w:rFonts w:ascii="Arial" w:hAnsi="Arial" w:cs="Arial"/>
        </w:rPr>
        <w:t xml:space="preserve">we observed </w:t>
      </w:r>
      <w:r w:rsidR="00FD5EA2" w:rsidRPr="00D41B5B">
        <w:rPr>
          <w:rFonts w:ascii="Arial" w:hAnsi="Arial" w:cs="Arial"/>
        </w:rPr>
        <w:t>in CV</w:t>
      </w:r>
      <w:r w:rsidR="000A3AA0" w:rsidRPr="00D41B5B">
        <w:rPr>
          <w:rFonts w:ascii="Arial" w:hAnsi="Arial" w:cs="Arial"/>
        </w:rPr>
        <w:t xml:space="preserve"> (Table </w:t>
      </w:r>
      <w:r w:rsidR="00735014">
        <w:rPr>
          <w:rFonts w:ascii="Arial" w:hAnsi="Arial" w:cs="Arial"/>
        </w:rPr>
        <w:t>4</w:t>
      </w:r>
      <w:r w:rsidR="000A3AA0" w:rsidRPr="00D41B5B">
        <w:rPr>
          <w:rFonts w:ascii="Arial" w:hAnsi="Arial" w:cs="Arial"/>
        </w:rPr>
        <w:t>, bottom part)</w:t>
      </w:r>
      <w:r w:rsidRPr="00D41B5B">
        <w:rPr>
          <w:rFonts w:ascii="Arial" w:hAnsi="Arial" w:cs="Arial"/>
        </w:rPr>
        <w:t>.</w:t>
      </w:r>
      <w:r w:rsidR="00EF358C" w:rsidRPr="00D41B5B">
        <w:rPr>
          <w:rFonts w:ascii="Arial" w:hAnsi="Arial" w:cs="Arial"/>
        </w:rPr>
        <w:t xml:space="preserve"> </w:t>
      </w:r>
      <w:r w:rsidR="00A24420">
        <w:rPr>
          <w:rFonts w:ascii="Arial" w:hAnsi="Arial" w:cs="Arial"/>
          <w:color w:val="auto"/>
          <w:lang w:val="en-US"/>
        </w:rPr>
        <w:t>Moreover, given</w:t>
      </w:r>
      <w:r w:rsidR="009C4934" w:rsidRPr="00D41B5B">
        <w:rPr>
          <w:rFonts w:ascii="Arial" w:hAnsi="Arial" w:cs="Arial"/>
          <w:color w:val="auto"/>
          <w:lang w:val="en-US"/>
        </w:rPr>
        <w:t xml:space="preserve"> a cluster-threshold of </w:t>
      </w:r>
      <w:r w:rsidR="009C4934" w:rsidRPr="00D41B5B">
        <w:rPr>
          <w:rFonts w:ascii="Arial" w:hAnsi="Arial" w:cs="Arial"/>
          <w:i/>
          <w:iCs/>
          <w:color w:val="auto"/>
          <w:lang w:val="en-US"/>
        </w:rPr>
        <w:t>p</w:t>
      </w:r>
      <w:r w:rsidR="009C4934" w:rsidRPr="00D41B5B">
        <w:rPr>
          <w:rFonts w:ascii="Arial" w:hAnsi="Arial" w:cs="Arial"/>
          <w:color w:val="auto"/>
          <w:lang w:val="en-US"/>
        </w:rPr>
        <w:t xml:space="preserve">&lt;0.05, 56% of vertices within the cluster(s) of significant differences in CV </w:t>
      </w:r>
      <w:r w:rsidR="00A24420">
        <w:rPr>
          <w:rFonts w:ascii="Arial" w:hAnsi="Arial" w:cs="Arial"/>
          <w:color w:val="auto"/>
          <w:lang w:val="en-US"/>
        </w:rPr>
        <w:t>could not be explained by</w:t>
      </w:r>
      <w:r w:rsidR="00934247">
        <w:rPr>
          <w:rFonts w:ascii="Arial" w:hAnsi="Arial" w:cs="Arial"/>
          <w:color w:val="auto"/>
          <w:lang w:val="en-US"/>
        </w:rPr>
        <w:t xml:space="preserve"> </w:t>
      </w:r>
      <w:r w:rsidR="00A24420">
        <w:rPr>
          <w:rFonts w:ascii="Arial" w:hAnsi="Arial" w:cs="Arial"/>
          <w:color w:val="auto"/>
          <w:lang w:val="en-US"/>
        </w:rPr>
        <w:t>(i.e., did not overlap with)</w:t>
      </w:r>
      <w:r w:rsidR="009C4934" w:rsidRPr="00D41B5B">
        <w:rPr>
          <w:rFonts w:ascii="Arial" w:hAnsi="Arial" w:cs="Arial"/>
          <w:color w:val="auto"/>
        </w:rPr>
        <w:t xml:space="preserve"> </w:t>
      </w:r>
      <w:r w:rsidR="009C4934" w:rsidRPr="00D41B5B">
        <w:rPr>
          <w:rFonts w:ascii="Arial" w:hAnsi="Arial" w:cs="Arial"/>
          <w:color w:val="auto"/>
          <w:lang w:val="en-US"/>
        </w:rPr>
        <w:t>vertices within clusters of significant differ</w:t>
      </w:r>
      <w:r w:rsidR="00A24420">
        <w:rPr>
          <w:rFonts w:ascii="Arial" w:hAnsi="Arial" w:cs="Arial"/>
          <w:color w:val="auto"/>
          <w:lang w:val="en-US"/>
        </w:rPr>
        <w:t>ences in SA and/or CT (or both).</w:t>
      </w:r>
      <w:r w:rsidR="009C4934" w:rsidRPr="00D41B5B">
        <w:rPr>
          <w:rFonts w:ascii="Arial" w:hAnsi="Arial" w:cs="Arial"/>
          <w:color w:val="auto"/>
          <w:lang w:val="en-US"/>
        </w:rPr>
        <w:t xml:space="preserve"> </w:t>
      </w:r>
      <w:r w:rsidR="00A24420" w:rsidRPr="004A37FF">
        <w:rPr>
          <w:rFonts w:ascii="Arial" w:eastAsiaTheme="minorEastAsia" w:hAnsi="Arial" w:cs="Arial"/>
        </w:rPr>
        <w:t>While this finding limits the interpretability of our</w:t>
      </w:r>
      <w:r w:rsidR="00A24420">
        <w:rPr>
          <w:rFonts w:ascii="Arial" w:eastAsiaTheme="minorEastAsia" w:hAnsi="Arial" w:cs="Arial"/>
        </w:rPr>
        <w:t xml:space="preserve"> </w:t>
      </w:r>
      <w:r w:rsidR="00A24420" w:rsidRPr="004A37FF">
        <w:rPr>
          <w:rFonts w:ascii="Arial" w:eastAsiaTheme="minorEastAsia" w:hAnsi="Arial" w:cs="Arial"/>
        </w:rPr>
        <w:t>results in terms of identifying a specific neural mechanism for the volumetric</w:t>
      </w:r>
      <w:r w:rsidR="00A24420">
        <w:rPr>
          <w:rFonts w:ascii="Arial" w:eastAsiaTheme="minorEastAsia" w:hAnsi="Arial" w:cs="Arial"/>
        </w:rPr>
        <w:t xml:space="preserve"> </w:t>
      </w:r>
      <w:r w:rsidR="00A24420" w:rsidRPr="004A37FF">
        <w:rPr>
          <w:rFonts w:ascii="Arial" w:eastAsiaTheme="minorEastAsia" w:hAnsi="Arial" w:cs="Arial"/>
        </w:rPr>
        <w:t>structural abnormalities associated in DID, it remains a very important finding</w:t>
      </w:r>
      <w:r w:rsidR="00A24420">
        <w:rPr>
          <w:rFonts w:ascii="Arial" w:eastAsiaTheme="minorEastAsia" w:hAnsi="Arial" w:cs="Arial"/>
        </w:rPr>
        <w:t xml:space="preserve"> </w:t>
      </w:r>
      <w:r w:rsidR="00A24420" w:rsidRPr="004A37FF">
        <w:rPr>
          <w:rFonts w:ascii="Arial" w:eastAsiaTheme="minorEastAsia" w:hAnsi="Arial" w:cs="Arial"/>
        </w:rPr>
        <w:t>su</w:t>
      </w:r>
      <w:r w:rsidR="00A24420">
        <w:rPr>
          <w:rFonts w:ascii="Arial" w:eastAsiaTheme="minorEastAsia" w:hAnsi="Arial" w:cs="Arial"/>
        </w:rPr>
        <w:t>ggesting that non-genetic, environmental</w:t>
      </w:r>
      <w:r w:rsidR="00A24420" w:rsidRPr="004A37FF">
        <w:rPr>
          <w:rFonts w:ascii="Arial" w:eastAsiaTheme="minorEastAsia" w:hAnsi="Arial" w:cs="Arial"/>
        </w:rPr>
        <w:t xml:space="preserve"> factors affect multiple aspects of brain development </w:t>
      </w:r>
      <w:r w:rsidR="00A24420">
        <w:rPr>
          <w:rFonts w:ascii="Arial" w:eastAsiaTheme="minorEastAsia" w:hAnsi="Arial" w:cs="Arial"/>
        </w:rPr>
        <w:t xml:space="preserve">in DID </w:t>
      </w:r>
      <w:r w:rsidR="00A24420" w:rsidRPr="004A37FF">
        <w:rPr>
          <w:rFonts w:ascii="Arial" w:eastAsiaTheme="minorEastAsia" w:hAnsi="Arial" w:cs="Arial"/>
        </w:rPr>
        <w:t>that cannot be linked</w:t>
      </w:r>
      <w:r w:rsidR="00A24420">
        <w:rPr>
          <w:rFonts w:ascii="Arial" w:eastAsiaTheme="minorEastAsia" w:hAnsi="Arial" w:cs="Arial"/>
        </w:rPr>
        <w:t xml:space="preserve"> </w:t>
      </w:r>
      <w:r w:rsidR="00A24420" w:rsidRPr="004A37FF">
        <w:rPr>
          <w:rFonts w:ascii="Arial" w:eastAsiaTheme="minorEastAsia" w:hAnsi="Arial" w:cs="Arial"/>
        </w:rPr>
        <w:t xml:space="preserve">unanimously to a specific molecular and/or developmental pathway. </w:t>
      </w:r>
      <w:r w:rsidR="00FD5EA2" w:rsidRPr="00D41B5B">
        <w:rPr>
          <w:rFonts w:ascii="Arial" w:hAnsi="Arial" w:cs="Arial"/>
        </w:rPr>
        <w:t xml:space="preserve">DID is thus unlike other neurodevelopmental conditions that </w:t>
      </w:r>
      <w:r w:rsidR="004A6A07" w:rsidRPr="00D41B5B">
        <w:rPr>
          <w:rFonts w:ascii="Arial" w:hAnsi="Arial" w:cs="Arial"/>
        </w:rPr>
        <w:t xml:space="preserve">are </w:t>
      </w:r>
      <w:r w:rsidR="00FD5EA2" w:rsidRPr="00D41B5B">
        <w:rPr>
          <w:rFonts w:ascii="Arial" w:hAnsi="Arial" w:cs="Arial"/>
        </w:rPr>
        <w:t>associated with specific neuroanatomical abnormalities. For example, Autism Spectrum Disorder (ASD)</w:t>
      </w:r>
      <w:r w:rsidR="004A6A07" w:rsidRPr="00D41B5B">
        <w:rPr>
          <w:rFonts w:ascii="Arial" w:hAnsi="Arial" w:cs="Arial"/>
        </w:rPr>
        <w:t xml:space="preserve">, </w:t>
      </w:r>
      <w:r w:rsidR="00FD5EA2" w:rsidRPr="00D41B5B">
        <w:rPr>
          <w:rFonts w:ascii="Arial" w:hAnsi="Arial" w:cs="Arial"/>
        </w:rPr>
        <w:t>a neurodevelopmental condition,</w:t>
      </w:r>
      <w:r w:rsidR="004A6A07" w:rsidRPr="00D41B5B">
        <w:rPr>
          <w:rFonts w:ascii="Arial" w:hAnsi="Arial" w:cs="Arial"/>
        </w:rPr>
        <w:t xml:space="preserve"> </w:t>
      </w:r>
      <w:r w:rsidR="00DB4D05">
        <w:rPr>
          <w:rFonts w:ascii="Arial" w:hAnsi="Arial" w:cs="Arial"/>
        </w:rPr>
        <w:t>has been shown to be</w:t>
      </w:r>
      <w:r w:rsidR="00DB4D05" w:rsidRPr="00D41B5B">
        <w:rPr>
          <w:rFonts w:ascii="Arial" w:hAnsi="Arial" w:cs="Arial"/>
        </w:rPr>
        <w:t xml:space="preserve"> </w:t>
      </w:r>
      <w:r w:rsidR="00FD5EA2" w:rsidRPr="00D41B5B">
        <w:rPr>
          <w:rFonts w:ascii="Arial" w:hAnsi="Arial" w:cs="Arial"/>
        </w:rPr>
        <w:t xml:space="preserve">associated with an accelerated </w:t>
      </w:r>
      <w:r w:rsidR="00FD5EA2" w:rsidRPr="00D41B5B">
        <w:rPr>
          <w:rFonts w:ascii="Arial" w:hAnsi="Arial" w:cs="Arial"/>
        </w:rPr>
        <w:lastRenderedPageBreak/>
        <w:t xml:space="preserve">expansion of the cortical surface, rather than an increase in </w:t>
      </w:r>
      <w:r w:rsidR="004A6A07" w:rsidRPr="00D41B5B">
        <w:rPr>
          <w:rFonts w:ascii="Arial" w:hAnsi="Arial" w:cs="Arial"/>
        </w:rPr>
        <w:t>CT</w:t>
      </w:r>
      <w:r w:rsidR="00FD5EA2" w:rsidRPr="00D41B5B">
        <w:rPr>
          <w:rFonts w:ascii="Arial" w:hAnsi="Arial" w:cs="Arial"/>
        </w:rPr>
        <w:fldChar w:fldCharType="begin" w:fldLock="1"/>
      </w:r>
      <w:r w:rsidR="004125B9" w:rsidRPr="00D41B5B">
        <w:rPr>
          <w:rFonts w:ascii="Arial" w:hAnsi="Arial" w:cs="Arial"/>
        </w:rPr>
        <w:instrText>ADDIN CSL_CITATION { "citationItems" : [ { "id" : "ITEM-1", "itemData" : { "abstract" : "CONTEXT: Brain enlargement has been observed in 2-year-old children with autism, but the underlying mechanisms are unknown. OBJECTIVE: To investigate early growth trajectories in brain volume and cortical thickness. DESIGN: Longitudinal magnetic resonance imaging study. SETTING: Academic medical centers. PARTICIPANTS: Fifty-nine children with autism spectrum disorder (ASD) and 38 control children. INTERVENTION: Children were examined at approximately 2 years of age. Magnetic resonance imaging was repeated approximately 24 months later (when aged 4-5 years; 38 children with ASD; 21 controls). MAIN OUTCOME MEASURES: Cerebral gray and white matter volumes and cortical thickness. RESULTS: We observed generalized cerebral cortical enlargement in individuals with ASD at both 2 and 4 to 5 years of age. Rate of cerebral cortical growth across multiple brain regions and tissue compartments in children with ASD was parallel to that seen in the controls, indicating that there was no increase in rate of cerebral cortical growth during this interval. No cerebellar differences were observed in children with ASD. After controlling for total brain volume, a disproportionate enlargement in temporal lobe white matter was observed in the ASD group. We found no significant differences in cortical thickness but observed an increase in an estimate of surface area in the ASD group compared with controls for all cortical regions measured (temporal, frontal, and parieto-occipital lobes). CONCLUSIONS: Our longitudinal magnetic resonance imaging study found generalized cerebral cortical enlargement in children with ASD, with a disproportionate enlargement in temporal lobe white matter. There was no significant difference from controls in the rate of brain growth for this age interval, indicating that brain enlargement in ASD results from an increased rate of brain growth before age 2 years. The presence of increased cortical volume, but not cortical thickness, suggests that early brain enlargement may be associated with increased cortical surface area. Cortical surface area overgrowth in ASD may underlie brain enlargement and implicates a distinct set of pathogenic mechanisms.", "author" : [ { "dropping-particle" : "", "family" : "Hazlett", "given" : "Heather Cody", "non-dropping-particle" : "", "parse-names" : false, "suffix" : "" }, { "dropping-particle" : "", "family" : "Poe", "given" : "Michele D", "non-dropping-particle" : "", "parse-names" : false, "suffix" : "" }, { "dropping-particle" : "", "family" : "Gerig", "given" : "Guido", "non-dropping-particle" : "", "parse-names" : false, "suffix" : "" }, { "dropping-particle" : "", "family" : "Styner", "given" : "Martin", "non-dropping-particle" : "", "parse-names" : false, "suffix" : "" }, { "dropping-particle" : "", "family" : "Chappell", "given" : "Chad", "non-dropping-particle" : "", "parse-names" : false, "suffix" : "" }, { "dropping-particle" : "", "family" : "Smith", "given" : "Rachel Gimpel", "non-dropping-particle" : "", "parse-names" : false, "suffix" : "" }, { "dropping-particle" : "", "family" : "Vachet", "given" : "Clement", "non-dropping-particle" : "", "parse-names" : false, "suffix" : "" }, { "dropping-particle" : "", "family" : "Piven", "given" : "Joseph", "non-dropping-particle" : "", "parse-names" : false, "suffix" : "" } ], "container-title" : "Archives of general psychiatry", "id" : "ITEM-1", "issue" : "5", "issued" : { "date-parts" : [ [ "2011", "5" ] ] }, "page" : "467-76", "title" : "Early brain overgrowth in autism associated with an increase in cortical surface area before age 2 years.", "type" : "article-journal", "volume" : "68" }, "uris" : [ "http://www.mendeley.com/documents/?uuid=e473596e-739e-42eb-a645-5388be3e823a" ] } ], "mendeley" : { "formattedCitation" : "(45)", "plainTextFormattedCitation" : "(45)", "previouslyFormattedCitation" : "(45)" }, "properties" : { "noteIndex" : 0 }, "schema" : "https://github.com/citation-style-language/schema/raw/master/csl-citation.json" }</w:instrText>
      </w:r>
      <w:r w:rsidR="00FD5EA2" w:rsidRPr="00D41B5B">
        <w:rPr>
          <w:rFonts w:ascii="Arial" w:hAnsi="Arial" w:cs="Arial"/>
        </w:rPr>
        <w:fldChar w:fldCharType="separate"/>
      </w:r>
      <w:r w:rsidR="00404909" w:rsidRPr="00D41B5B">
        <w:rPr>
          <w:rFonts w:ascii="Arial" w:hAnsi="Arial" w:cs="Arial"/>
          <w:noProof/>
        </w:rPr>
        <w:t>(45)</w:t>
      </w:r>
      <w:r w:rsidR="00FD5EA2" w:rsidRPr="00D41B5B">
        <w:rPr>
          <w:rFonts w:ascii="Arial" w:hAnsi="Arial" w:cs="Arial"/>
        </w:rPr>
        <w:fldChar w:fldCharType="end"/>
      </w:r>
      <w:r w:rsidR="00FD5EA2" w:rsidRPr="00D41B5B">
        <w:rPr>
          <w:rFonts w:ascii="Arial" w:hAnsi="Arial" w:cs="Arial"/>
        </w:rPr>
        <w:t xml:space="preserve">. </w:t>
      </w:r>
      <w:r w:rsidR="00DB4D05">
        <w:rPr>
          <w:rFonts w:ascii="Arial" w:hAnsi="Arial" w:cs="Arial"/>
        </w:rPr>
        <w:t>In the future, it will therefore be important to link s</w:t>
      </w:r>
      <w:r w:rsidR="00FD5EA2" w:rsidRPr="00D41B5B">
        <w:rPr>
          <w:rFonts w:ascii="Arial" w:hAnsi="Arial" w:cs="Arial"/>
        </w:rPr>
        <w:t>pecific neuroa</w:t>
      </w:r>
      <w:r w:rsidR="00422C50" w:rsidRPr="00D41B5B">
        <w:rPr>
          <w:rFonts w:ascii="Arial" w:hAnsi="Arial" w:cs="Arial"/>
        </w:rPr>
        <w:t xml:space="preserve">natomical </w:t>
      </w:r>
      <w:r w:rsidR="00BD0B19" w:rsidRPr="00D41B5B">
        <w:rPr>
          <w:rFonts w:ascii="Arial" w:hAnsi="Arial" w:cs="Arial"/>
        </w:rPr>
        <w:t xml:space="preserve">alterations </w:t>
      </w:r>
      <w:r w:rsidR="00DB4D05">
        <w:rPr>
          <w:rFonts w:ascii="Arial" w:hAnsi="Arial" w:cs="Arial"/>
        </w:rPr>
        <w:t>to specific neurodevelopmental</w:t>
      </w:r>
      <w:r w:rsidR="00DB4D05" w:rsidRPr="00D41B5B">
        <w:rPr>
          <w:rFonts w:ascii="Arial" w:hAnsi="Arial" w:cs="Arial"/>
        </w:rPr>
        <w:t xml:space="preserve"> </w:t>
      </w:r>
      <w:r w:rsidR="00FD5EA2" w:rsidRPr="00D41B5B">
        <w:rPr>
          <w:rFonts w:ascii="Arial" w:hAnsi="Arial" w:cs="Arial"/>
        </w:rPr>
        <w:t xml:space="preserve">mechanisms  </w:t>
      </w:r>
      <w:r w:rsidR="00DB4D05">
        <w:rPr>
          <w:rFonts w:ascii="Arial" w:hAnsi="Arial" w:cs="Arial"/>
        </w:rPr>
        <w:t xml:space="preserve">and their respective </w:t>
      </w:r>
      <w:r w:rsidR="00FD5EA2" w:rsidRPr="00D41B5B">
        <w:rPr>
          <w:rFonts w:ascii="Arial" w:hAnsi="Arial" w:cs="Arial"/>
        </w:rPr>
        <w:t>sets of genes</w:t>
      </w:r>
      <w:r w:rsidR="00FD5EA2" w:rsidRPr="00D41B5B">
        <w:rPr>
          <w:rFonts w:ascii="Arial" w:hAnsi="Arial" w:cs="Arial"/>
        </w:rPr>
        <w:fldChar w:fldCharType="begin" w:fldLock="1"/>
      </w:r>
      <w:r w:rsidR="00A408CF" w:rsidRPr="00D41B5B">
        <w:rPr>
          <w:rFonts w:ascii="Arial" w:hAnsi="Arial" w:cs="Arial"/>
        </w:rPr>
        <w:instrText>ADDIN CSL_CITATION { "citationItems" : [ { "id" : "ITEM-1", "itemData" : { "DOI" : "10.1007/s00702-014-1207-1", "ISSN" : "1435-1463", "PMID" : "24752753", "abstract" : "Autism spectrum disorder (ASD) is a lifelong neurodevelopmental condition that is accompanied by an atypical development of brain maturation. So far, brain development has mainly been studied during early childhood in ASD, and using measures of total or lobular brain volume. However, cortical volumetric measures are a product of two distinct biological neuroanatomical features, cortical thickness, and surface area, which most likely also have different neurodevelopmental trajectories in ASD. Here, we therefore examined age-related differences in cortical thickness and surface area in a cross-sectional sample of 77 male individuals with ASD ranging from 7 to 25 years of age, and 77 male neurotypical controls matched for age and FSIQ. Surface-based measures were analyzed using a general linear model (GLM) including linear, quadratic, and cubic age terms, as well as their interactions with the main effect of group. When controlling for the effects of age, individuals with ASD had spatially distributed reductions in cortical thickness relative to controls, particularly in fronto-temporal regions, and also showed significantly reduced surface area in the prefrontal cortex and the anterior temporal lobe. We also observed significant group \u00d7 age interactions for both measures. However, while cortical thickness was best predicted by a quadratic age term, the neurodevelopmental trajectory for measures of surface area was mostly linear. Our findings suggest that ASD is accompanied by age-related and region-specific reductions in cortical thickness and surface area during childhood and early adulthood. Thus, differences in the neurodevelopmental trajectory of maturation for both measures need to be taken into account when interpreting between-group differences overall.", "author" : [ { "dropping-particle" : "", "family" : "Ecker", "given" : "C", "non-dropping-particle" : "", "parse-names" : false, "suffix" : "" }, { "dropping-particle" : "", "family" : "Shahidiani", "given" : "A", "non-dropping-particle" : "", "parse-names" : false, "suffix" : "" }, { "dropping-particle" : "", "family" : "Feng", "given" : "Y", "non-dropping-particle" : "", "parse-names" : false, "suffix" : "" }, { "dropping-particle" : "", "family" : "Daly", "given" : "E", "non-dropping-particle" : "", "parse-names" : false, "suffix" : "" }, { "dropping-particle" : "", "family" : "Murphy", "given" : "C", "non-dropping-particle" : "", "parse-names" : false, "suffix" : "" }, { "dropping-particle" : "", "family" : "D'Almeida", "given" : "V", "non-dropping-particle" : "", "parse-names" : false, "suffix" : "" }, { "dropping-particle" : "", "family" : "Deoni", "given" : "S", "non-dropping-particle" : "", "parse-names" : false, "suffix" : "" }, { "dropping-particle" : "", "family" : "Williams", "given" : "S C", "non-dropping-particle" : "", "parse-names" : false, "suffix" : "" }, { "dropping-particle" : "", "family" : "Gillan", "given" : "N", "non-dropping-particle" : "", "parse-names" : false, "suffix" : "" }, { "dropping-particle" : "", "family" : "Gudbrandsen", "given" : "M", "non-dropping-particle" : "", "parse-names" : false, "suffix" : "" }, { "dropping-particle" : "", "family" : "Wichers", "given" : "R", "non-dropping-particle" : "", "parse-names" : false, "suffix" : "" }, { "dropping-particle" : "", "family" : "Andrews", "given" : "D", "non-dropping-particle" : "", "parse-names" : false, "suffix" : "" }, { "dropping-particle" : "", "family" : "Hemert", "given" : "L", "non-dropping-particle" : "Van", "parse-names" : false, "suffix" : "" }, { "dropping-particle" : "", "family" : "Murphy", "given" : "D G M", "non-dropping-particle" : "", "parse-names" : false, "suffix" : "" } ], "container-title" : "Journal of neural transmission (Vienna, Austria : 1996)", "id" : "ITEM-1", "issue" : "9", "issued" : { "date-parts" : [ [ "2014", "9" ] ] }, "page" : "1157-70", "title" : "The effect of age, diagnosis, and their interaction on vertex-based measures of cortical thickness and surface area in autism spectrum disorder.", "type" : "article-journal", "volume" : "121" }, "uris" : [ "http://www.mendeley.com/documents/?uuid=dd4774d2-bbf0-41aa-b70a-7f6c9f77b455" ] } ], "mendeley" : { "formattedCitation" : "(21)", "plainTextFormattedCitation" : "(21)", "previouslyFormattedCitation" : "(21)" }, "properties" : { "noteIndex" : 0 }, "schema" : "https://github.com/citation-style-language/schema/raw/master/csl-citation.json" }</w:instrText>
      </w:r>
      <w:r w:rsidR="00FD5EA2" w:rsidRPr="00D41B5B">
        <w:rPr>
          <w:rFonts w:ascii="Arial" w:hAnsi="Arial" w:cs="Arial"/>
        </w:rPr>
        <w:fldChar w:fldCharType="separate"/>
      </w:r>
      <w:r w:rsidR="00521D67" w:rsidRPr="00D41B5B">
        <w:rPr>
          <w:rFonts w:ascii="Arial" w:hAnsi="Arial" w:cs="Arial"/>
          <w:noProof/>
        </w:rPr>
        <w:t>(21)</w:t>
      </w:r>
      <w:r w:rsidR="00FD5EA2" w:rsidRPr="00D41B5B">
        <w:rPr>
          <w:rFonts w:ascii="Arial" w:hAnsi="Arial" w:cs="Arial"/>
        </w:rPr>
        <w:fldChar w:fldCharType="end"/>
      </w:r>
      <w:r w:rsidR="00FD58D5" w:rsidRPr="00D41B5B">
        <w:rPr>
          <w:rFonts w:ascii="Arial" w:hAnsi="Arial" w:cs="Arial"/>
        </w:rPr>
        <w:t xml:space="preserve">, </w:t>
      </w:r>
      <w:r w:rsidR="00DB4D05">
        <w:rPr>
          <w:rFonts w:ascii="Arial" w:hAnsi="Arial" w:cs="Arial"/>
        </w:rPr>
        <w:t xml:space="preserve">patterns of </w:t>
      </w:r>
      <w:r w:rsidR="00FD58D5" w:rsidRPr="00D41B5B">
        <w:rPr>
          <w:rFonts w:ascii="Arial" w:hAnsi="Arial" w:cs="Arial"/>
        </w:rPr>
        <w:t>gene expression</w:t>
      </w:r>
      <w:r w:rsidR="00FD58D5" w:rsidRPr="00D41B5B">
        <w:rPr>
          <w:rStyle w:val="Verwijzingopmerking"/>
          <w:rFonts w:ascii="Arial" w:hAnsi="Arial" w:cs="Arial"/>
          <w:kern w:val="1"/>
          <w:sz w:val="22"/>
          <w:szCs w:val="22"/>
          <w:u w:color="000000"/>
        </w:rPr>
        <w:fldChar w:fldCharType="begin" w:fldLock="1"/>
      </w:r>
      <w:r w:rsidR="005F6473" w:rsidRPr="00D41B5B">
        <w:rPr>
          <w:rStyle w:val="Verwijzingopmerking"/>
          <w:rFonts w:ascii="Arial" w:hAnsi="Arial" w:cs="Arial"/>
          <w:kern w:val="1"/>
          <w:sz w:val="22"/>
          <w:szCs w:val="22"/>
          <w:u w:color="000000"/>
        </w:rPr>
        <w:instrText>ADDIN CSL_CITATION { "citationItems" : [ { "id" : "ITEM-1", "itemData" : { "DOI" : "10.1016/j.biopsych.2008.11.028", "ISSN" : "1873-2402", "PMID" : "19150054", "abstract" : "BACKGROUND: Childhood maltreatment and early trauma leave lasting imprints on neural mechanisms of cognition and emotion. With a rat model of infant maltreatment by a caregiver, we investigated whether early-life adversity leaves lasting epigenetic marks at the brain-derived neurotrophic factor (BDNF) gene in the central nervous system.\n\nMETHODS: During the first postnatal week, we exposed infant rats to stressed caretakers that predominately displayed abusive behaviors. We then assessed DNA methylation patterns and gene expression throughout the life span as well as DNA methylation patterns in the next generation of infants.\n\nRESULTS: Early maltreatment produced persisting changes in methylation of BDNF DNA that caused altered BDNF gene expression in the adult prefrontal cortex. Furthermore, we observed altered BDNF DNA methylation in offspring of females that had previously experienced the maltreatment regimen.\n\nCONCLUSIONS: These results highlight an epigenetic molecular mechanism potentially underlying lifelong and transgenerational perpetuation of changes in gene expression and behavior incited by early abuse and neglect.", "author" : [ { "dropping-particle" : "", "family" : "Roth", "given" : "Tania L", "non-dropping-particle" : "", "parse-names" : false, "suffix" : "" }, { "dropping-particle" : "", "family" : "Lubin", "given" : "Farah D", "non-dropping-particle" : "", "parse-names" : false, "suffix" : "" }, { "dropping-particle" : "", "family" : "Funk", "given" : "Adam J", "non-dropping-particle" : "", "parse-names" : false, "suffix" : "" }, { "dropping-particle" : "", "family" : "Sweatt", "given" : "J David", "non-dropping-particle" : "", "parse-names" : false, "suffix" : "" } ], "container-title" : "Biological psychiatry", "id" : "ITEM-1", "issue" : "9", "issued" : { "date-parts" : [ [ "2009", "5", "1" ] ] }, "page" : "760-9", "title" : "Lasting epigenetic influence of early-life adversity on the BDNF gene.", "type" : "article-journal", "volume" : "65" }, "uris" : [ "http://www.mendeley.com/documents/?uuid=91041631-d3d8-4dc1-81b4-ccd1d418ec9b" ] } ], "mendeley" : { "formattedCitation" : "(7)", "plainTextFormattedCitation" : "(7)", "previouslyFormattedCitation" : "(7)" }, "properties" : { "noteIndex" : 0 }, "schema" : "https://github.com/citation-style-language/schema/raw/master/csl-citation.json" }</w:instrText>
      </w:r>
      <w:r w:rsidR="00FD58D5" w:rsidRPr="00D41B5B">
        <w:rPr>
          <w:rStyle w:val="Verwijzingopmerking"/>
          <w:rFonts w:ascii="Arial" w:hAnsi="Arial" w:cs="Arial"/>
          <w:kern w:val="1"/>
          <w:sz w:val="22"/>
          <w:szCs w:val="22"/>
          <w:u w:color="000000"/>
        </w:rPr>
        <w:fldChar w:fldCharType="separate"/>
      </w:r>
      <w:r w:rsidR="00374870" w:rsidRPr="00D41B5B">
        <w:rPr>
          <w:rStyle w:val="Verwijzingopmerking"/>
          <w:rFonts w:ascii="Arial" w:hAnsi="Arial" w:cs="Arial"/>
          <w:noProof/>
          <w:kern w:val="1"/>
          <w:sz w:val="22"/>
          <w:szCs w:val="22"/>
          <w:u w:color="000000"/>
        </w:rPr>
        <w:t>(7)</w:t>
      </w:r>
      <w:r w:rsidR="00FD58D5" w:rsidRPr="00D41B5B">
        <w:rPr>
          <w:rStyle w:val="Verwijzingopmerking"/>
          <w:rFonts w:ascii="Arial" w:hAnsi="Arial" w:cs="Arial"/>
          <w:kern w:val="1"/>
          <w:sz w:val="22"/>
          <w:szCs w:val="22"/>
          <w:u w:color="000000"/>
        </w:rPr>
        <w:fldChar w:fldCharType="end"/>
      </w:r>
      <w:r w:rsidR="00FD58D5" w:rsidRPr="00D41B5B">
        <w:rPr>
          <w:rStyle w:val="Verwijzingopmerking"/>
          <w:rFonts w:ascii="Arial" w:hAnsi="Arial" w:cs="Arial"/>
          <w:kern w:val="1"/>
          <w:sz w:val="22"/>
          <w:szCs w:val="22"/>
          <w:u w:color="000000"/>
        </w:rPr>
        <w:t xml:space="preserve"> and/or </w:t>
      </w:r>
      <w:r w:rsidR="00FD58D5" w:rsidRPr="00D41B5B">
        <w:rPr>
          <w:rFonts w:ascii="Arial" w:hAnsi="Arial" w:cs="Arial"/>
        </w:rPr>
        <w:t>altered stress reactivity following childhood trauma</w:t>
      </w:r>
      <w:r w:rsidR="00DB4D05">
        <w:rPr>
          <w:rFonts w:ascii="Arial" w:hAnsi="Arial" w:cs="Arial"/>
        </w:rPr>
        <w:t xml:space="preserve"> in DID</w:t>
      </w:r>
      <w:r w:rsidR="00FD58D5" w:rsidRPr="00D41B5B">
        <w:rPr>
          <w:rFonts w:ascii="Arial" w:hAnsi="Arial" w:cs="Arial"/>
        </w:rPr>
        <w:t>.</w:t>
      </w:r>
    </w:p>
    <w:p w14:paraId="4EAE09F5" w14:textId="1C06A9C5" w:rsidR="007E74C0" w:rsidRPr="001B5A20" w:rsidRDefault="00724C3B" w:rsidP="00D41B5B">
      <w:pPr>
        <w:spacing w:line="360" w:lineRule="auto"/>
        <w:rPr>
          <w:rFonts w:ascii="Arial" w:hAnsi="Arial" w:cs="Arial"/>
          <w:sz w:val="22"/>
          <w:szCs w:val="22"/>
        </w:rPr>
      </w:pPr>
      <w:r w:rsidRPr="00D41B5B">
        <w:rPr>
          <w:rFonts w:ascii="Arial" w:hAnsi="Arial" w:cs="Arial"/>
          <w:sz w:val="22"/>
          <w:szCs w:val="22"/>
        </w:rPr>
        <w:tab/>
      </w:r>
      <w:r w:rsidR="007E74C0" w:rsidRPr="00D41B5B">
        <w:rPr>
          <w:rFonts w:ascii="Arial" w:hAnsi="Arial" w:cs="Arial"/>
          <w:sz w:val="22"/>
          <w:szCs w:val="22"/>
        </w:rPr>
        <w:t>As</w:t>
      </w:r>
      <w:r w:rsidR="007E74C0">
        <w:rPr>
          <w:rFonts w:ascii="Arial" w:hAnsi="Arial" w:cs="Arial"/>
          <w:sz w:val="22"/>
          <w:szCs w:val="22"/>
        </w:rPr>
        <w:t xml:space="preserve"> expected,</w:t>
      </w:r>
      <w:r w:rsidR="00A11EAE">
        <w:rPr>
          <w:rFonts w:ascii="Arial" w:hAnsi="Arial" w:cs="Arial"/>
          <w:sz w:val="22"/>
          <w:szCs w:val="22"/>
        </w:rPr>
        <w:t xml:space="preserve"> the</w:t>
      </w:r>
      <w:r w:rsidR="007E74C0">
        <w:rPr>
          <w:rFonts w:ascii="Arial" w:hAnsi="Arial" w:cs="Arial"/>
          <w:sz w:val="22"/>
          <w:szCs w:val="22"/>
        </w:rPr>
        <w:t xml:space="preserve"> </w:t>
      </w:r>
      <w:r w:rsidR="007E74C0" w:rsidRPr="00295F63">
        <w:rPr>
          <w:rFonts w:ascii="Arial" w:hAnsi="Arial" w:cs="Arial"/>
          <w:sz w:val="22"/>
          <w:szCs w:val="22"/>
        </w:rPr>
        <w:t xml:space="preserve">areas </w:t>
      </w:r>
      <w:r w:rsidR="00A11EAE">
        <w:rPr>
          <w:rFonts w:ascii="Arial" w:hAnsi="Arial" w:cs="Arial"/>
          <w:sz w:val="22"/>
          <w:szCs w:val="22"/>
        </w:rPr>
        <w:t>a</w:t>
      </w:r>
      <w:r w:rsidR="00A11EAE" w:rsidRPr="00295F63">
        <w:rPr>
          <w:rFonts w:ascii="Arial" w:hAnsi="Arial" w:cs="Arial"/>
          <w:sz w:val="22"/>
          <w:szCs w:val="22"/>
        </w:rPr>
        <w:t xml:space="preserve">ffected </w:t>
      </w:r>
      <w:r w:rsidR="007E74C0" w:rsidRPr="00295F63">
        <w:rPr>
          <w:rFonts w:ascii="Arial" w:hAnsi="Arial" w:cs="Arial"/>
          <w:sz w:val="22"/>
          <w:szCs w:val="22"/>
        </w:rPr>
        <w:t>included parietal and insular regions as well as the limbic-prefrontal circuitry of the brain, previously shown to be implicated in emotion regulation in DID</w:t>
      </w:r>
      <w:r w:rsidR="007E74C0">
        <w:rPr>
          <w:rFonts w:ascii="Arial" w:hAnsi="Arial" w:cs="Arial"/>
          <w:sz w:val="22"/>
          <w:szCs w:val="22"/>
        </w:rPr>
        <w:fldChar w:fldCharType="begin" w:fldLock="1"/>
      </w:r>
      <w:r w:rsidR="00A408CF">
        <w:rPr>
          <w:rFonts w:ascii="Arial" w:hAnsi="Arial" w:cs="Arial"/>
          <w:sz w:val="22"/>
          <w:szCs w:val="22"/>
        </w:rPr>
        <w:instrText>ADDIN CSL_CITATION { "citationItems" : [ { "id" : "ITEM-1", "itemData" : { "DOI" : "10.1016/j.pscychresns.2014.05.005", "ISSN" : "1872-7123", "PMID" : "24976633", "abstract" : "Imaging studies in posttraumatic stress disorder (PTSD) have shown differing neural network patterns between hypo-aroused/dissociative and hyper-aroused subtypes. Since dissociative identity disorder (DID) involves different emotional states, this study tests whether DID fits aspects of the differing brain-activation patterns in PTSD. While brain activation was monitored using positron emission tomography, DID individuals (n=11) and matched DID-simulating healthy controls (n=16) underwent an autobiographic script-driven imagery paradigm in a hypo-aroused and a hyper-aroused identity state. Results were consistent with those previously found in the two PTSD subtypes for the rostral/dorsal anterior cingulate, the prefrontal cortex, and the amygdala and insula, respectively. Furthermore, the dissociative identity state uniquely activated the posterior association areas and the parahippocampal gyri, whereas the hyper-aroused identity state uniquely activated the caudate nucleus. Therefore, we proposed an extended PTSD-based neurobiological model for emotion modulation in DID: the hypo-aroused identity state activates the prefrontal cortex, cingulate, posterior association areas and parahippocampal gyri, thereby overmodulating emotion regulation; the hyper-aroused identity state activates the amygdala and insula as well as the dorsal striatum, thereby undermodulating emotion regulation. This confirms the notion that DID is related to PTSD as hypo-aroused and hyper-arousal states in DID and PTSD are similar.", "author" : [ { "dropping-particle" : "", "family" : "Reinders", "given" : "Antje A T S", "non-dropping-particle" : "", "parse-names" : false, "suffix" : "" }, { "dropping-particle" : "", "family" : "Willemsen", "given" : "Antoon T M", "non-dropping-particle" : "", "parse-names" : false, "suffix" : "" }, { "dropping-particle" : "", "family" : "Boer", "given" : "Johan A", "non-dropping-particle" : "den", "parse-names" : false, "suffix" : "" }, { "dropping-particle" : "", "family" : "Vos", "given" : "Herry P J", "non-dropping-particle" : "", "parse-names" : false, "suffix" : "" }, { "dropping-particle" : "", "family" : "Veltman", "given" : "Dick J", "non-dropping-particle" : "", "parse-names" : false, "suffix" : "" }, { "dropping-particle" : "", "family" : "Loewenstein", "given" : "Richard J", "non-dropping-particle" : "", "parse-names" : false, "suffix" : "" } ], "container-title" : "Psychiatry research: Neuroimaging", "id" : "ITEM-1", "issue" : "3", "issued" : { "date-parts" : [ [ "2014", "6", "4" ] ] }, "page" : "236-43", "publisher" : "Elsevier", "title" : "Opposite brain emotion-regulation patterns in identity states of dissociative identity disorder: A PET study and neurobiological model.", "type" : "article-journal", "volume" : "223" }, "uris" : [ "http://www.mendeley.com/documents/?uuid=a6c97ed7-cccf-48a9-8090-08ad36f8428a" ] } ], "mendeley" : { "formattedCitation" : "(16)", "plainTextFormattedCitation" : "(16)", "previouslyFormattedCitation" : "(16)" }, "properties" : { "noteIndex" : 0 }, "schema" : "https://github.com/citation-style-language/schema/raw/master/csl-citation.json" }</w:instrText>
      </w:r>
      <w:r w:rsidR="007E74C0">
        <w:rPr>
          <w:rFonts w:ascii="Arial" w:hAnsi="Arial" w:cs="Arial"/>
          <w:sz w:val="22"/>
          <w:szCs w:val="22"/>
        </w:rPr>
        <w:fldChar w:fldCharType="separate"/>
      </w:r>
      <w:r w:rsidR="00521D67" w:rsidRPr="00521D67">
        <w:rPr>
          <w:rFonts w:ascii="Arial" w:hAnsi="Arial" w:cs="Arial"/>
          <w:noProof/>
          <w:sz w:val="22"/>
          <w:szCs w:val="22"/>
        </w:rPr>
        <w:t>(16)</w:t>
      </w:r>
      <w:r w:rsidR="007E74C0">
        <w:rPr>
          <w:rFonts w:ascii="Arial" w:hAnsi="Arial" w:cs="Arial"/>
          <w:sz w:val="22"/>
          <w:szCs w:val="22"/>
        </w:rPr>
        <w:fldChar w:fldCharType="end"/>
      </w:r>
      <w:r w:rsidR="00FD58D5">
        <w:rPr>
          <w:rFonts w:ascii="Arial" w:hAnsi="Arial" w:cs="Arial"/>
          <w:sz w:val="22"/>
          <w:szCs w:val="22"/>
        </w:rPr>
        <w:t xml:space="preserve">. </w:t>
      </w:r>
      <w:r w:rsidR="007E74C0" w:rsidRPr="00CA282E">
        <w:rPr>
          <w:rFonts w:ascii="Arial" w:hAnsi="Arial" w:cs="Arial"/>
          <w:sz w:val="22"/>
          <w:szCs w:val="22"/>
        </w:rPr>
        <w:t>DID</w:t>
      </w:r>
      <w:r w:rsidR="00FD58D5">
        <w:rPr>
          <w:rFonts w:ascii="Arial" w:hAnsi="Arial" w:cs="Arial"/>
          <w:sz w:val="22"/>
          <w:szCs w:val="22"/>
        </w:rPr>
        <w:t xml:space="preserve"> </w:t>
      </w:r>
      <w:r w:rsidR="007E74C0" w:rsidRPr="00CA282E">
        <w:rPr>
          <w:rFonts w:ascii="Arial" w:hAnsi="Arial" w:cs="Arial"/>
          <w:sz w:val="22"/>
          <w:szCs w:val="22"/>
        </w:rPr>
        <w:t>is considered an early-onset form of post-traumatic stress disorder (PTSD)</w:t>
      </w:r>
      <w:r w:rsidR="007E74C0" w:rsidRPr="00CA282E">
        <w:rPr>
          <w:rFonts w:ascii="Arial" w:hAnsi="Arial" w:cs="Arial"/>
          <w:sz w:val="22"/>
          <w:szCs w:val="22"/>
        </w:rPr>
        <w:fldChar w:fldCharType="begin" w:fldLock="1"/>
      </w:r>
      <w:r w:rsidR="005F6473">
        <w:rPr>
          <w:rFonts w:ascii="Arial" w:hAnsi="Arial" w:cs="Arial"/>
          <w:sz w:val="22"/>
          <w:szCs w:val="22"/>
        </w:rPr>
        <w:instrText>ADDIN CSL_CITATION { "citationItems" : [ { "id" : "ITEM-1", "itemData" : { "author" : [ { "dropping-particle" : "", "family" : "Nijenhuis", "given" : "Ellert R.S.", "non-dropping-particle" : "", "parse-names" : false, "suffix" : "" } ], "id" : "ITEM-1", "issued" : { "date-parts" : [ [ "2015" ] ] }, "number-of-pages" : "635", "publisher" : "Vandenhoeck &amp; Ruprecht", "publisher-place" : "G\u00f6ttingen", "title" : "The trinity of trauma: Ignorance, fragility, and control: The evolving concept of trauma / The concept and facts of dissociation in trauma", "type" : "book" }, "uris" : [ "http://www.mendeley.com/documents/?uuid=4e8d1bf7-ef06-41d6-80ef-f3efd315a620" ] }, { "id" : "ITEM-2", "itemData" : { "DOI" : "10.1002/hbm.22730", "ISSN" : "1097-0193", "PMID" : "25545784", "abstract" : "Smaller hippocampal volume has been reported in individuals with post-traumatic stress disorder (PTSD) and dissociative identity disorder (DID), but the regional specificity of hippocampal volume reductions and the association with severity of dissociative symptoms and/or childhood traumatization are still unclear. Brain structural magnetic resonance imaging scans were analyzed for 33 outpatients (17 with DID and 16 with PTSD only) and 28 healthy controls (HC), all matched for age, sex, and education. DID patients met criteria for PTSD (PTSD-DID). Hippocampal global and subfield volumes and shape measurements were extracted. We found that global hippocampal volume was significantly smaller in all 33 patients (left: 6.75%; right: 8.33%) compared with HC. PTSD-DID (left: 10.19%; right: 11.37%) and PTSD-only with a history of childhood traumatization (left: 7.11%; right: 7.31%) had significantly smaller global hippocampal volume relative to HC. PTSD-DID had abnormal shape and significantly smaller volume in the CA2-3, CA4-DG and (pre)subiculum compared with HC. In the patient groups, smaller global and subfield hippocampal volumes significantly correlated with higher severity of childhood traumatization and dissociative symptoms. These findings support a childhood trauma-related etiology for abnormal hippocampal morphology in both PTSD and DID and can further the understanding of neurobiological mechanisms involved in these disorders.", "author" : [ { "dropping-particle" : "", "family" : "Chalavi", "given" : "Sima", "non-dropping-particle" : "", "parse-names" : false, "suffix" : "" }, { "dropping-particle" : "", "family" : "Vissia", "given" : "Eline M", "non-dropping-particle" : "", "parse-names" : false, "suffix" : "" }, { "dropping-particle" : "", "family" : "Giesen", "given" : "Mechteld E", "non-dropping-particle" : "", "parse-names" : false, "suffix" : "" }, { "dropping-particle" : "", "family" : "Nijenhuis", "given" : "Ellert R S", "non-dropping-particle" : "", "parse-names" : false, "suffix" : "" }, { "dropping-particle" : "", "family" : "Draijer", "given" : "Nel", "non-dropping-particle" : "", "parse-names" : false, "suffix" : "" }, { "dropping-particle" : "", "family" : "Cole", "given" : "James H", "non-dropping-particle" : "", "parse-names" : false, "suffix" : "" }, { "dropping-particle" : "", "family" : "Dazzan", "given" : "Paola", "non-dropping-particle" : "", "parse-names" : false, "suffix" : "" }, { "dropping-particle" : "", "family" : "Pariante", "given" : "Carmine M", "non-dropping-particle" : "", "parse-names" : false, "suffix" : "" }, { "dropping-particle" : "", "family" : "Madsen", "given" : "Sarah K", "non-dropping-particle" : "", "parse-names" : false, "suffix" : "" }, { "dropping-particle" : "", "family" : "Rajagopalan", "given" : "Priya", "non-dropping-particle" : "", "parse-names" : false, "suffix" : "" }, { "dropping-particle" : "", "family" : "Thompson", "given" : "Paul M", "non-dropping-particle" : "", "parse-names" : false, "suffix" : "" }, { "dropping-particle" : "", "family" : "Toga", "given" : "Arthur W", "non-dropping-particle" : "", "parse-names" : false, "suffix" : "" }, { "dropping-particle" : "", "family" : "Veltman", "given" : "Dick J", "non-dropping-particle" : "", "parse-names" : false, "suffix" : "" }, { "dropping-particle" : "", "family" : "Reinders", "given" : "Antje A T S", "non-dropping-particle" : "", "parse-names" : false, "suffix" : "" } ], "container-title" : "Human brain mapping", "id" : "ITEM-2", "issue" : "5", "issued" : { "date-parts" : [ [ "2015", "5" ] ] }, "page" : "1692-704", "title" : "Abnormal hippocampal morphology in dissociative identity disorder and post-traumatic stress disorder correlates with childhood trauma and dissociative symptoms.", "type" : "article-journal", "volume" : "36" }, "uris" : [ "http://www.mendeley.com/documents/?uuid=13ce85ff-f6c9-4a08-887f-e45f1c7f0c95" ] }, { "id" : "ITEM-3", "itemData" : { "DOI" : "10.1016/j.pscychresns.2015.01.014", "ISSN" : "1872-7123", "PMID" : "25670646", "abstract" : "Neuroanatomical evidence on the relationship between posttraumatic stress disorder (PTSD) and dissociative disorders is still lacking. We acquired brain structural magnetic resonance imaging (MRI) scans from 17 patients with dissociative identity disorder (DID) and co-morbid PTSD (DID-PTSD) and 16 patients with PTSD but without DID (PTSD-only), and 32 healthy controls (HC), and compared their whole-brain cortical and subcortical gray matter (GM) morphological measurements. Associations between GM measurements and severity of dissociative and depersonalization/derealization symptoms or lifetime traumatizing events were evaluated in the patient groups. DID-PTSD and PTSD-only patients, compared with HC, had similarly smaller cortical GM volumes of the whole brain and of frontal, temporal and insular cortices. DID-PTSD patients additionally showed smaller hippocampal and larger pallidum volumes relative to HC, and larger putamen and pallidum volumes relative to PTSD-only. Severity of lifetime traumatizing events and volume of the hippocampus were negatively correlated. Severity of dissociative and depersonalization/derealization symptoms correlated positively with volume of the putamen and pallidum, and negatively with volume of the inferior parietal cortex. Shared abnormal brain structures in DID-PTSD and PTSD-only, small hippocampal volume in DID-PTSD, more severe lifetime traumatizing events in DID-PTSD compared with PTSD-only, and negative correlations between lifetime traumatizing events and hippocampal volume suggest a trauma-related etiology for DID. Our results provide neurobiological evidence for the side-by-side nosological classification of PTSD and DID in the DSM-5.", "author" : [ { "dropping-particle" : "", "family" : "Chalavi", "given" : "Sima", "non-dropping-particle" : "", "parse-names" : false, "suffix" : "" }, { "dropping-particle" : "", "family" : "Vissia", "given" : "Eline M", "non-dropping-particle" : "", "parse-names" : false, "suffix" : "" }, { "dropping-particle" : "", "family" : "Giesen", "given" : "Mechteld E", "non-dropping-particle" : "", "parse-names" : false, "suffix" : "" }, { "dropping-particle" : "", "family" : "Nijenhuis", "given" : "Ellert R S", "non-dropping-particle" : "", "parse-names" : false, "suffix" : "" }, { "dropping-particle" : "", "family" : "Draijer", "given" : "Nel", "non-dropping-particle" : "", "parse-names" : false, "suffix" : "" }, { "dropping-particle" : "", "family" : "Barker", "given" : "Gareth J", "non-dropping-particle" : "", "parse-names" : false, "suffix" : "" }, { "dropping-particle" : "", "family" : "Veltman", "given" : "Dick J", "non-dropping-particle" : "", "parse-names" : false, "suffix" : "" }, { "dropping-particle" : "", "family" : "Reinders", "given" : "Antje A T S", "non-dropping-particle" : "", "parse-names" : false, "suffix" : "" } ], "container-title" : "Psychiatry research", "id" : "ITEM-3", "issue" : "3", "issued" : { "date-parts" : [ [ "2015", "3", "30" ] ] }, "page" : "308-19", "title" : "Similar cortical but not subcortical gray matter abnormalities in women with posttraumatic stress disorder with versus without dissociative identity disorder.", "type" : "article-journal", "volume" : "231" }, "uris" : [ "http://www.mendeley.com/documents/?uuid=c274a8e7-d6e5-4d5f-8f0d-760c4923a452" ] }, { "id" : "ITEM-4", "itemData" : { "DOI" : "10.1111/acps.12590", "ISSN" : "1600-0447", "PMID" : "27225185", "abstract" : "OBJECTIVE The Trauma Model of dissociative identity disorder (DID) posits that DID is etiologically related to chronic neglect and physical and/or sexual abuse in childhood. In contrast, the Fantasy Model posits that DID can be simulated and is mediated by high suggestibility, fantasy proneness, and sociocultural influences. To date, these two models have not been jointly tested in individuals with DID in an empirical manner. METHOD This study included matched groups [patients (n = 33) and controls (n = 32)] that were compared on psychological Trauma and Fantasy measures: diagnosed genuine DID (DID-G, n = 17), DID-simulating healthy controls (DID-S, n = 16), individuals with post-traumatic stress disorder (PTSD, n = 16), and healthy controls (HC, n = 16). Additionally, personality-state-dependent measures were obtained for DID-G and DID-S; both neutral personality states (NPS) and trauma-related personality states (TPS) were tested. CONCLUSION For Trauma measures, the DID-G group had the highest scores, with TPS higher than NPS, followed by the PTSD, DID-S, and HC groups. The DID-G group was not more fantasy-prone or suggestible and did not generate more false memories. Malingering measures were inconclusive. Evidence consistently supported the Trauma Model of DID and challenges the core hypothesis of the Fantasy Model.", "author" : [ { "dropping-particle" : "", "family" : "Vissia", "given" : "E M", "non-dropping-particle" : "", "parse-names" : false, "suffix" : "" }, { "dropping-particle" : "", "family" : "Giesen", "given" : "M E", "non-dropping-particle" : "", "parse-names" : false, "suffix" : "" }, { "dropping-particle" : "", "family" : "Chalavi", "given" : "S", "non-dropping-particle" : "", "parse-names" : false, "suffix" : "" }, { "dropping-particle" : "", "family" : "Nijenhuis", "given" : "E R S", "non-dropping-particle" : "", "parse-names" : false, "suffix" : "" }, { "dropping-particle" : "", "family" : "Draijer", "given" : "N", "non-dropping-particle" : "", "parse-names" : false, "suffix" : "" }, { "dropping-particle" : "", "family" : "Brand", "given" : "B L", "non-dropping-particle" : "", "parse-names" : false, "suffix" : "" }, { "dropping-particle" : "", "family" : "Reinders", "given" : "A A T S", "non-dropping-particle" : "", "parse-names" : false, "suffix" : "" } ], "container-title" : "Acta psychiatrica Scandinavica", "id" : "ITEM-4", "issue" : "2", "issued" : { "date-parts" : [ [ "2016" ] ] }, "page" : "111-28", "title" : "Is it Trauma- or Fantasy-based? Comparing dissociative identity disorder, post-traumatic stress disorder, simulators, and controls.", "type" : "article-journal", "volume" : "134" }, "uris" : [ "http://www.mendeley.com/documents/?uuid=0bf0a210-dfbe-32a8-ad24-c360d62d65ad" ] }, { "id" : "ITEM-5", "itemData" : { "DOI" : "10.1037/a0027447", "ISSN" : "1939-1455", "PMID" : "22409505", "abstract" : "The relationship between a reported history of trauma and dissociative symptoms has been explained in 2 conflicting ways. Pathological dissociation has been conceptualized as a response to antecedent traumatic stress and/or severe psychological adversity. Others have proposed that dissociation makes individuals prone to fantasy, thereby engendering confabulated memories of trauma. We examine data related to a series of 8 contrasting predictions based on the trauma model and the fantasy model of dissociation. In keeping with the trauma model, the relationship between trauma and dissociation was consistent and moderate in strength, and remained significant when objective measures of trauma were used. Dissociation was temporally related to trauma and trauma treatment, and was predictive of trauma history when fantasy proneness was controlled. Dissociation was not reliably associated with suggestibility, nor was there evidence for the fantasy model prediction of greater inaccuracy of recovered memory. Instead, dissociation was positively related to a history of trauma memory recovery and negatively related to the more general measures of narrative cohesion. Research also supports the trauma theory of dissociation as a regulatory response to fear or other extreme emotion with measurable biological correlates. We conclude, on the basis of evidence related to these 8 predictions, that there is strong empirical support for the hypothesis that trauma causes dissociation, and that dissociation remains related to trauma history when fantasy proneness is controlled. We find little support for the hypothesis that the dissociation-trauma relationship is due to fantasy proneness or confabulated memories of trauma.", "author" : [ { "dropping-particle" : "", "family" : "Dalenberg", "given" : "Constance J", "non-dropping-particle" : "", "parse-names" : false, "suffix" : "" }, { "dropping-particle" : "", "family" : "Brand", "given" : "Bethany L", "non-dropping-particle" : "", "parse-names" : false, "suffix" : "" }, { "dropping-particle" : "", "family" : "Gleaves", "given" : "David H", "non-dropping-particle" : "", "parse-names" : false, "suffix" : "" }, { "dropping-particle" : "", "family" : "Dorahy", "given" : "Martin J", "non-dropping-particle" : "", "parse-names" : false, "suffix" : "" }, { "dropping-particle" : "", "family" : "Loewenstein", "given" : "Richard J", "non-dropping-particle" : "", "parse-names" : false, "suffix" : "" }, { "dropping-particle" : "", "family" : "Carde\u00f1a", "given" : "Etzel", "non-dropping-particle" : "", "parse-names" : false, "suffix" : "" }, { "dropping-particle" : "", "family" : "Frewen", "given" : "Paul A", "non-dropping-particle" : "", "parse-names" : false, "suffix" : "" }, { "dropping-particle" : "", "family" : "Carlson", "given" : "Eve B", "non-dropping-particle" : "", "parse-names" : false, "suffix" : "" }, { "dropping-particle" : "", "family" : "Spiegel", "given" : "David", "non-dropping-particle" : "", "parse-names" : false, "suffix" : "" } ], "container-title" : "Psychological bulletin", "id" : "ITEM-5", "issue" : "3", "issued" : { "date-parts" : [ [ "2012", "5" ] ] }, "page" : "550-88", "title" : "Evaluation of the evidence for the trauma and fantasy models of dissociation.", "type" : "article-journal", "volume" : "138" }, "uris" : [ "http://www.mendeley.com/documents/?uuid=bd68b133-4d79-4f35-bf66-d5321bb4e833" ] } ], "mendeley" : { "formattedCitation" : "(1\u20135)", "plainTextFormattedCitation" : "(1\u20135)", "previouslyFormattedCitation" : "(1\u20135)" }, "properties" : { "noteIndex" : 0 }, "schema" : "https://github.com/citation-style-language/schema/raw/master/csl-citation.json" }</w:instrText>
      </w:r>
      <w:r w:rsidR="007E74C0" w:rsidRPr="00CA282E">
        <w:rPr>
          <w:rFonts w:ascii="Arial" w:hAnsi="Arial" w:cs="Arial"/>
          <w:sz w:val="22"/>
          <w:szCs w:val="22"/>
        </w:rPr>
        <w:fldChar w:fldCharType="separate"/>
      </w:r>
      <w:r w:rsidR="00374870" w:rsidRPr="00374870">
        <w:rPr>
          <w:rFonts w:ascii="Arial" w:hAnsi="Arial" w:cs="Arial"/>
          <w:noProof/>
          <w:sz w:val="22"/>
          <w:szCs w:val="22"/>
        </w:rPr>
        <w:t>(1–5)</w:t>
      </w:r>
      <w:r w:rsidR="007E74C0" w:rsidRPr="00CA282E">
        <w:rPr>
          <w:rFonts w:ascii="Arial" w:hAnsi="Arial" w:cs="Arial"/>
          <w:sz w:val="22"/>
          <w:szCs w:val="22"/>
        </w:rPr>
        <w:fldChar w:fldCharType="end"/>
      </w:r>
      <w:r w:rsidR="00ED06A8">
        <w:rPr>
          <w:rFonts w:ascii="Arial" w:hAnsi="Arial" w:cs="Arial"/>
          <w:sz w:val="22"/>
          <w:szCs w:val="22"/>
        </w:rPr>
        <w:t xml:space="preserve"> </w:t>
      </w:r>
      <w:r w:rsidR="00A11EAE">
        <w:rPr>
          <w:rFonts w:ascii="Arial" w:hAnsi="Arial" w:cs="Arial"/>
          <w:sz w:val="22"/>
          <w:szCs w:val="22"/>
        </w:rPr>
        <w:t xml:space="preserve">and therefore one could reasonably </w:t>
      </w:r>
      <w:r w:rsidR="00A11EAE" w:rsidRPr="0096734E">
        <w:rPr>
          <w:rFonts w:ascii="Arial" w:hAnsi="Arial" w:cs="Arial"/>
          <w:sz w:val="22"/>
          <w:szCs w:val="22"/>
        </w:rPr>
        <w:t xml:space="preserve">expect to find </w:t>
      </w:r>
      <w:r w:rsidR="00AD43A8" w:rsidRPr="0096734E">
        <w:rPr>
          <w:rFonts w:ascii="Arial" w:hAnsi="Arial" w:cs="Arial"/>
          <w:sz w:val="22"/>
          <w:szCs w:val="22"/>
        </w:rPr>
        <w:t>similarities in abnormality of</w:t>
      </w:r>
      <w:r w:rsidR="00ED06A8" w:rsidRPr="0096734E">
        <w:rPr>
          <w:rFonts w:ascii="Arial" w:hAnsi="Arial" w:cs="Arial"/>
          <w:sz w:val="22"/>
          <w:szCs w:val="22"/>
        </w:rPr>
        <w:t xml:space="preserve"> cortical morphology</w:t>
      </w:r>
      <w:r w:rsidR="00A11EAE" w:rsidRPr="0096734E">
        <w:rPr>
          <w:rFonts w:ascii="Arial" w:hAnsi="Arial" w:cs="Arial"/>
          <w:sz w:val="22"/>
          <w:szCs w:val="22"/>
        </w:rPr>
        <w:t>. In</w:t>
      </w:r>
      <w:r w:rsidR="00A11EAE">
        <w:rPr>
          <w:rFonts w:ascii="Arial" w:hAnsi="Arial" w:cs="Arial"/>
          <w:sz w:val="22"/>
          <w:szCs w:val="22"/>
        </w:rPr>
        <w:t xml:space="preserve"> fact,</w:t>
      </w:r>
      <w:r w:rsidR="003B531A">
        <w:rPr>
          <w:rFonts w:ascii="Arial" w:hAnsi="Arial" w:cs="Arial"/>
          <w:sz w:val="22"/>
          <w:szCs w:val="22"/>
        </w:rPr>
        <w:t xml:space="preserve"> PTSD</w:t>
      </w:r>
      <w:r w:rsidR="003B531A">
        <w:rPr>
          <w:rFonts w:ascii="Arial" w:hAnsi="Arial" w:cs="Arial"/>
          <w:sz w:val="22"/>
          <w:szCs w:val="22"/>
          <w:lang w:val="en-GB"/>
        </w:rPr>
        <w:t xml:space="preserve"> </w:t>
      </w:r>
      <w:r w:rsidR="007E74C0" w:rsidRPr="00295F63">
        <w:rPr>
          <w:rFonts w:ascii="Arial" w:hAnsi="Arial" w:cs="Arial"/>
          <w:sz w:val="22"/>
          <w:szCs w:val="22"/>
          <w:lang w:val="en-GB"/>
        </w:rPr>
        <w:t xml:space="preserve">is accompanied by abnormalities in brain anatomy and connectivity, </w:t>
      </w:r>
      <w:r w:rsidR="007E74C0">
        <w:rPr>
          <w:rFonts w:ascii="Arial" w:hAnsi="Arial" w:cs="Arial"/>
          <w:sz w:val="22"/>
          <w:szCs w:val="22"/>
          <w:lang w:val="en-GB"/>
        </w:rPr>
        <w:t xml:space="preserve">which </w:t>
      </w:r>
      <w:r w:rsidR="007E74C0" w:rsidRPr="00295F63">
        <w:rPr>
          <w:rFonts w:ascii="Arial" w:hAnsi="Arial" w:cs="Arial"/>
          <w:sz w:val="22"/>
          <w:szCs w:val="22"/>
          <w:lang w:val="en-GB"/>
        </w:rPr>
        <w:t>are correlated with symptom severity</w:t>
      </w:r>
      <w:r w:rsidR="007E74C0" w:rsidRPr="00295F63">
        <w:rPr>
          <w:rFonts w:ascii="Arial" w:hAnsi="Arial" w:cs="Arial"/>
          <w:sz w:val="22"/>
          <w:szCs w:val="22"/>
          <w:lang w:val="en-GB"/>
        </w:rPr>
        <w:fldChar w:fldCharType="begin" w:fldLock="1"/>
      </w:r>
      <w:r w:rsidR="004125B9">
        <w:rPr>
          <w:rFonts w:ascii="Arial" w:hAnsi="Arial" w:cs="Arial"/>
          <w:sz w:val="22"/>
          <w:szCs w:val="22"/>
          <w:lang w:val="en-GB"/>
        </w:rPr>
        <w:instrText>ADDIN CSL_CITATION { "citationItems" : [ { "id" : "ITEM-1", "itemData" : { "DOI" : "10.1111/j.1600-0447.2009.01391.x", "ISSN" : "1600-0447", "PMID" : "19426163", "abstract" : "OBJECTIVE: The goal of this study was to investigate the relationship between default mode network connectivity and the severity of post-traumatic stress disorder (PTSD) symptoms in a sample of eleven acutely traumatized subjects.\n\nMETHOD: Participants underwent a 5.5 min resting functional magnetic resonance imaging scan. Brain areas whose activity positively correlated with that of the posterior cingulate/precuneus (PCC) were assessed. To assess the relationship between severity of PTSD symptoms and PCC connectivity, the contrast image representing areas positively correlated with the PCC was correlated with the subjects' Clinician Administered PTSD Scale scores.\n\nRESULTS: Results suggest that resting state connectivity of the PCC with the perigenual anterior cingulate and the right amygdala is associated with current PTSD symptoms and that correlation with the right amygdala predicts future PTSD symptoms.\n\nCONCLUSION: These results may contribute to the development of prognostic tools to distinguish between those who will and those who will not develop PTSD.", "author" : [ { "dropping-particle" : "", "family" : "Lanius", "given" : "R A", "non-dropping-particle" : "", "parse-names" : false, "suffix" : "" }, { "dropping-particle" : "", "family" : "Bluhm", "given" : "R L", "non-dropping-particle" : "", "parse-names" : false, "suffix" : "" }, { "dropping-particle" : "", "family" : "Coupland", "given" : "N J", "non-dropping-particle" : "", "parse-names" : false, "suffix" : "" }, { "dropping-particle" : "", "family" : "Hegadoren", "given" : "K M", "non-dropping-particle" : "", "parse-names" : false, "suffix" : "" }, { "dropping-particle" : "", "family" : "Rowe", "given" : "B", "non-dropping-particle" : "", "parse-names" : false, "suffix" : "" }, { "dropping-particle" : "", "family" : "Th\u00e9berge", "given" : "J", "non-dropping-particle" : "", "parse-names" : false, "suffix" : "" }, { "dropping-particle" : "", "family" : "Neufeld", "given" : "R W J", "non-dropping-particle" : "", "parse-names" : false, "suffix" : "" }, { "dropping-particle" : "", "family" : "Williamson", "given" : "P C", "non-dropping-particle" : "", "parse-names" : false, "suffix" : "" }, { "dropping-particle" : "", "family" : "Brimson", "given" : "M", "non-dropping-particle" : "", "parse-names" : false, "suffix" : "" } ], "container-title" : "Acta psychiatrica Scandinavica", "id" : "ITEM-1", "issue" : "1", "issued" : { "date-parts" : [ [ "2010", "1" ] ] }, "page" : "33-40", "title" : "Default mode network connectivity as a predictor of post-traumatic stress disorder symptom severity in acutely traumatized subjects.", "type" : "article-journal", "volume" : "121" }, "uris" : [ "http://www.mendeley.com/documents/?uuid=4875441d-d74b-4d39-89ee-aa45b8b9bdf8" ] }, { "id" : "ITEM-2", "itemData" : { "DOI" : "10.1016/j.pscychresns.2011.01.013", "ISSN" : "0165-1781", "PMID" : "21683556", "abstract" : "The goal of this study was to determine whether posttraumatic stress disorder (PTSD) was associated with an increase in time-related decline in macrostructural brain volume and whether these changes were associated with accelerated cognitive decline. To quantify brain structure, three-dimensional T1-weighted MRI scans were performed at baseline and again after a minimum of 24months in 25 patients with PTSD (PTSD+) and 22 controls (PTSD-). Longitudinal changes in brain volume were measured using deformation morphometry. For the group as a whole, PTSD+ patients did not show significant ongoing brain atrophy compared to PTSD-. PTSD+ patients were then subgrouped into those with decreasing or increasing symptoms. We found little evidence for brain markers of accelerated atrophy in PTSD+ veterans whose symptoms improved over time, with only a small left parietal region showing greater ongoing tissue loss than PTSD-. PTSD patients whose symptoms increased over time showed accelerated atrophy throughout the brain, particularly brainstem and frontal and temporal lobes. Lastly, for the sample as a whole, greater rates of brain atrophy were associated with greater rates of decline in verbal memory and delayed facial recognition.", "author" : [ { "dropping-particle" : "", "family" : "Cardenas", "given" : "Valerie A", "non-dropping-particle" : "", "parse-names" : false, "suffix" : "" }, { "dropping-particle" : "", "family" : "Samuelson", "given" : "Kristin", "non-dropping-particle" : "", "parse-names" : false, "suffix" : "" }, { "dropping-particle" : "", "family" : "Lenoci", "given" : "Maryann", "non-dropping-particle" : "", "parse-names" : false, "suffix" : "" }, { "dropping-particle" : "", "family" : "Studholme", "given" : "Colin", "non-dropping-particle" : "", "parse-names" : false, "suffix" : "" }, { "dropping-particle" : "", "family" : "Neylan", "given" : "Thomas C", "non-dropping-particle" : "", "parse-names" : false, "suffix" : "" }, { "dropping-particle" : "", "family" : "Marmar", "given" : "Charles R", "non-dropping-particle" : "", "parse-names" : false, "suffix" : "" }, { "dropping-particle" : "", "family" : "Schuff", "given" : "Norbert", "non-dropping-particle" : "", "parse-names" : false, "suffix" : "" }, { "dropping-particle" : "", "family" : "Weiner", "given" : "Michael W", "non-dropping-particle" : "", "parse-names" : false, "suffix" : "" } ], "container-title" : "Psychiatry research", "id" : "ITEM-2", "issue" : "2", "issued" : { "date-parts" : [ [ "2011", "8", "30" ] ] }, "page" : "93-100", "title" : "Changes in brain anatomy during the course of posttraumatic stress disorder.", "type" : "article-journal", "volume" : "193" }, "uris" : [ "http://www.mendeley.com/documents/?uuid=8483393e-fa88-4e0f-ac3f-e95d3e130f1a" ] } ], "mendeley" : { "formattedCitation" : "(46,47)", "plainTextFormattedCitation" : "(46,47)", "previouslyFormattedCitation" : "(46,47)" }, "properties" : { "noteIndex" : 0 }, "schema" : "https://github.com/citation-style-language/schema/raw/master/csl-citation.json" }</w:instrText>
      </w:r>
      <w:r w:rsidR="007E74C0" w:rsidRPr="00295F63">
        <w:rPr>
          <w:rFonts w:ascii="Arial" w:hAnsi="Arial" w:cs="Arial"/>
          <w:sz w:val="22"/>
          <w:szCs w:val="22"/>
          <w:lang w:val="en-GB"/>
        </w:rPr>
        <w:fldChar w:fldCharType="separate"/>
      </w:r>
      <w:r w:rsidR="00404909" w:rsidRPr="00404909">
        <w:rPr>
          <w:rFonts w:ascii="Arial" w:hAnsi="Arial" w:cs="Arial"/>
          <w:noProof/>
          <w:sz w:val="22"/>
          <w:szCs w:val="22"/>
          <w:lang w:val="en-GB"/>
        </w:rPr>
        <w:t>(46,47)</w:t>
      </w:r>
      <w:r w:rsidR="007E74C0" w:rsidRPr="00295F63">
        <w:rPr>
          <w:rFonts w:ascii="Arial" w:hAnsi="Arial" w:cs="Arial"/>
          <w:sz w:val="22"/>
          <w:szCs w:val="22"/>
          <w:lang w:val="en-GB"/>
        </w:rPr>
        <w:fldChar w:fldCharType="end"/>
      </w:r>
      <w:r w:rsidR="007E74C0">
        <w:rPr>
          <w:rFonts w:ascii="Arial" w:hAnsi="Arial" w:cs="Arial"/>
          <w:sz w:val="22"/>
          <w:szCs w:val="22"/>
          <w:lang w:val="en-GB"/>
        </w:rPr>
        <w:t>.</w:t>
      </w:r>
      <w:r w:rsidR="007E74C0" w:rsidRPr="00295F63">
        <w:rPr>
          <w:rFonts w:ascii="Arial" w:hAnsi="Arial" w:cs="Arial"/>
          <w:sz w:val="22"/>
          <w:szCs w:val="22"/>
          <w:lang w:val="en-GB"/>
        </w:rPr>
        <w:t xml:space="preserve"> </w:t>
      </w:r>
      <w:r w:rsidR="007E74C0">
        <w:rPr>
          <w:rFonts w:ascii="Arial" w:hAnsi="Arial" w:cs="Arial"/>
          <w:sz w:val="22"/>
          <w:szCs w:val="22"/>
          <w:lang w:val="en-GB"/>
        </w:rPr>
        <w:t xml:space="preserve">A </w:t>
      </w:r>
      <w:r w:rsidR="007E74C0" w:rsidRPr="00295F63">
        <w:rPr>
          <w:rFonts w:ascii="Arial" w:hAnsi="Arial" w:cs="Arial"/>
          <w:sz w:val="22"/>
          <w:szCs w:val="22"/>
          <w:lang w:val="en-GB"/>
        </w:rPr>
        <w:t xml:space="preserve">meta-analysis showed that PTSD </w:t>
      </w:r>
      <w:r w:rsidR="007E74C0">
        <w:rPr>
          <w:rFonts w:ascii="Arial" w:hAnsi="Arial" w:cs="Arial"/>
          <w:sz w:val="22"/>
          <w:szCs w:val="22"/>
          <w:lang w:val="en-GB"/>
        </w:rPr>
        <w:t xml:space="preserve">is related to </w:t>
      </w:r>
      <w:r w:rsidR="007E74C0" w:rsidRPr="00295F63">
        <w:rPr>
          <w:rFonts w:ascii="Arial" w:hAnsi="Arial" w:cs="Arial"/>
          <w:sz w:val="22"/>
          <w:szCs w:val="22"/>
          <w:lang w:val="en-GB"/>
        </w:rPr>
        <w:t xml:space="preserve">decreased regional GM volume in the </w:t>
      </w:r>
      <w:r w:rsidR="007E74C0" w:rsidRPr="00295F63">
        <w:rPr>
          <w:rFonts w:ascii="Arial" w:hAnsi="Arial" w:cs="Arial"/>
          <w:sz w:val="22"/>
          <w:szCs w:val="22"/>
        </w:rPr>
        <w:t xml:space="preserve">anterior cingulate cortex, the ventromedial prefrontal cortex, and the left temporal pole/middle temporal gyrus compared to individuals </w:t>
      </w:r>
      <w:r w:rsidR="007E74C0">
        <w:rPr>
          <w:rFonts w:ascii="Arial" w:hAnsi="Arial" w:cs="Arial"/>
          <w:sz w:val="22"/>
          <w:szCs w:val="22"/>
        </w:rPr>
        <w:t xml:space="preserve">who lived adverse events but who did not have </w:t>
      </w:r>
      <w:r w:rsidR="007E74C0" w:rsidRPr="00295F63">
        <w:rPr>
          <w:rFonts w:ascii="Arial" w:hAnsi="Arial" w:cs="Arial"/>
          <w:sz w:val="22"/>
          <w:szCs w:val="22"/>
        </w:rPr>
        <w:t>PTSD</w:t>
      </w:r>
      <w:r w:rsidR="007E74C0" w:rsidRPr="00295F63">
        <w:rPr>
          <w:rFonts w:ascii="Arial" w:hAnsi="Arial" w:cs="Arial"/>
          <w:sz w:val="22"/>
          <w:szCs w:val="22"/>
        </w:rPr>
        <w:fldChar w:fldCharType="begin" w:fldLock="1"/>
      </w:r>
      <w:r w:rsidR="004125B9">
        <w:rPr>
          <w:rFonts w:ascii="Arial" w:hAnsi="Arial" w:cs="Arial"/>
          <w:sz w:val="22"/>
          <w:szCs w:val="22"/>
        </w:rPr>
        <w:instrText>ADDIN CSL_CITATION { "citationItems" : [ { "id" : "ITEM-1", "itemData" : { "DOI" : "10.1016/j.biopsych.2012.06.029", "ISSN" : "1873-2402", "PMID" : "22840760", "abstract" : "BACKGROUND: Since the inception of the diagnosis posttraumatic stress disorder (PTSD), attempts have been undertaken to understand why only a subpopulation of individuals exposed to trauma develops PTSD. Cerebral gray matter reductions have been suggested to be a crucial pathobiological marker of PTSD. However, a quantitative meta-analysis of whole-brain voxel-based morphometry studies is lacking. METHODS: Here, we investigated concurrence across voxel-based morphometry studies in PTSD compared with trauma-exposed individuals without PTSD (all together nine studies with 319 subjects) by means of activation likelihood estimation. RESULTS: We identified brain regions of consistent gray matter reduction in anterior cingulate cortex, ventromedial prefrontal cortex, left temporal pole/middle temporal gyrus, and left hippocampus in PTSD patients compared with individuals exposed to trauma without PTSD. CONCLUSIONS: This is the first quantitative whole-brain meta-analysis showing brain structure deficits in traumatized subjects with PTSD compared with trauma-exposed healthy control subjects. The gray matter deficit profile overlaps with brain networks of emotion processing, fear extinction, and emotion regulation known to be affected in PTSD. Although the data cannot clarify if this is a predisposition or a consequence of the disease, the results may facilitate the need to control for structural characteristics in future functional brain studies.", "author" : [ { "dropping-particle" : "", "family" : "K\u00fchn", "given" : "Simone", "non-dropping-particle" : "", "parse-names" : false, "suffix" : "" }, { "dropping-particle" : "", "family" : "Gallinat", "given" : "J\u00fcrgen", "non-dropping-particle" : "", "parse-names" : false, "suffix" : "" } ], "container-title" : "Biological psychiatry", "id" : "ITEM-1", "issue" : "1", "issued" : { "date-parts" : [ [ "2013", "1", "1" ] ] }, "page" : "70-4", "title" : "Gray matter correlates of posttraumatic stress disorder: a quantitative meta-analysis.", "type" : "article-journal", "volume" : "73" }, "uris" : [ "http://www.mendeley.com/documents/?uuid=12e10a6b-db6e-4a21-a2b5-56c80e51b14e" ] } ], "mendeley" : { "formattedCitation" : "(48)", "plainTextFormattedCitation" : "(48)", "previouslyFormattedCitation" : "(48)" }, "properties" : { "noteIndex" : 0 }, "schema" : "https://github.com/citation-style-language/schema/raw/master/csl-citation.json" }</w:instrText>
      </w:r>
      <w:r w:rsidR="007E74C0" w:rsidRPr="00295F63">
        <w:rPr>
          <w:rFonts w:ascii="Arial" w:hAnsi="Arial" w:cs="Arial"/>
          <w:sz w:val="22"/>
          <w:szCs w:val="22"/>
        </w:rPr>
        <w:fldChar w:fldCharType="separate"/>
      </w:r>
      <w:r w:rsidR="00404909" w:rsidRPr="00404909">
        <w:rPr>
          <w:rFonts w:ascii="Arial" w:hAnsi="Arial" w:cs="Arial"/>
          <w:noProof/>
          <w:sz w:val="22"/>
          <w:szCs w:val="22"/>
        </w:rPr>
        <w:t>(48)</w:t>
      </w:r>
      <w:r w:rsidR="007E74C0" w:rsidRPr="00295F63">
        <w:rPr>
          <w:rFonts w:ascii="Arial" w:hAnsi="Arial" w:cs="Arial"/>
          <w:sz w:val="22"/>
          <w:szCs w:val="22"/>
        </w:rPr>
        <w:fldChar w:fldCharType="end"/>
      </w:r>
      <w:r w:rsidR="007E74C0" w:rsidRPr="00295F63">
        <w:rPr>
          <w:rFonts w:ascii="Arial" w:hAnsi="Arial" w:cs="Arial"/>
          <w:sz w:val="22"/>
          <w:szCs w:val="22"/>
        </w:rPr>
        <w:t xml:space="preserve">, or </w:t>
      </w:r>
      <w:r w:rsidR="007E74C0">
        <w:rPr>
          <w:rFonts w:ascii="Arial" w:hAnsi="Arial" w:cs="Arial"/>
          <w:sz w:val="22"/>
          <w:szCs w:val="22"/>
        </w:rPr>
        <w:t xml:space="preserve">relative </w:t>
      </w:r>
      <w:r w:rsidR="007E74C0" w:rsidRPr="00295F63">
        <w:rPr>
          <w:rFonts w:ascii="Arial" w:hAnsi="Arial" w:cs="Arial"/>
          <w:sz w:val="22"/>
          <w:szCs w:val="22"/>
        </w:rPr>
        <w:t>to healthy controls (HC)</w:t>
      </w:r>
      <w:r w:rsidR="007E74C0" w:rsidRPr="00295F63">
        <w:rPr>
          <w:rFonts w:ascii="Arial" w:hAnsi="Arial" w:cs="Arial"/>
          <w:sz w:val="22"/>
          <w:szCs w:val="22"/>
        </w:rPr>
        <w:fldChar w:fldCharType="begin" w:fldLock="1"/>
      </w:r>
      <w:r w:rsidR="004125B9">
        <w:rPr>
          <w:rFonts w:ascii="Arial" w:hAnsi="Arial" w:cs="Arial"/>
          <w:sz w:val="22"/>
          <w:szCs w:val="22"/>
        </w:rPr>
        <w:instrText>ADDIN CSL_CITATION { "citationItems" : [ { "id" : "ITEM-1", "itemData" : { "DOI" : "10.1016/j.bbr.2014.05.021", "ISSN" : "1872-7549", "PMID" : "24859173", "abstract" : "Evidence from previous anatomical studies indicate that widespread brain regions are involved in the pathogenesis of posttraumatic stress disorder (PTSD). The aim of the present study was to quantitatively integrate the literature on structural abnormalities seen on individuals with PTSD. Twenty voxel-based analysis studies were analysed through a comprehensive series of meta-analyses. Compared with healthy controls, PTSD patients showed a significant reduction in grey matter (GM) in the left anterior cingulate gyrus (ACC) at the whole-brain level. Several brain regions, including the left ACC, the left insula and the right parahippocampal gyrus were significantly smaller in individuals with PTSD than in trauma-exposed healthy subjects. Furthermore, the clinician-administered PTSD scale scores were negatively correlated with GM in the left ACC and positively correlated with GM in the left insula. In addition, PTSD patients who experienced accidental or non-accidental trauma had anatomical changes in different brain regions. These results suggest that the smaller ACC and insular cortex within the limbic-prefrontal circuit contribute to the pathogenesis of PTSD. Moreover, the PTSD patients with different types of trauma may have different cerebral deficits.", "author" : [ { "dropping-particle" : "", "family" : "Meng", "given" : "Yajing", "non-dropping-particle" : "", "parse-names" : false, "suffix" : "" }, { "dropping-particle" : "", "family" : "Qiu", "given" : "Changjian", "non-dropping-particle" : "", "parse-names" : false, "suffix" : "" }, { "dropping-particle" : "", "family" : "Zhu", "given" : "Hongru", "non-dropping-particle" : "", "parse-names" : false, "suffix" : "" }, { "dropping-particle" : "", "family" : "Lama", "given" : "Sunima", "non-dropping-particle" : "", "parse-names" : false, "suffix" : "" }, { "dropping-particle" : "", "family" : "Lui", "given" : "Su", "non-dropping-particle" : "", "parse-names" : false, "suffix" : "" }, { "dropping-particle" : "", "family" : "Gong", "given" : "Qiyong", "non-dropping-particle" : "", "parse-names" : false, "suffix" : "" }, { "dropping-particle" : "", "family" : "Zhang", "given" : "Wei", "non-dropping-particle" : "", "parse-names" : false, "suffix" : "" } ], "container-title" : "Behavioural brain research", "id" : "ITEM-1", "issued" : { "date-parts" : [ [ "2014", "8", "15" ] ] }, "page" : "307-15", "title" : "Anatomical deficits in adult posttraumatic stress disorder: a meta-analysis of voxel-based morphometry studies.", "type" : "article-journal", "volume" : "270" }, "uris" : [ "http://www.mendeley.com/documents/?uuid=2b17ed6c-3f52-4b96-93a3-cb67b1a66bfa" ] } ], "mendeley" : { "formattedCitation" : "(49)", "plainTextFormattedCitation" : "(49)", "previouslyFormattedCitation" : "(49)" }, "properties" : { "noteIndex" : 0 }, "schema" : "https://github.com/citation-style-language/schema/raw/master/csl-citation.json" }</w:instrText>
      </w:r>
      <w:r w:rsidR="007E74C0" w:rsidRPr="00295F63">
        <w:rPr>
          <w:rFonts w:ascii="Arial" w:hAnsi="Arial" w:cs="Arial"/>
          <w:sz w:val="22"/>
          <w:szCs w:val="22"/>
        </w:rPr>
        <w:fldChar w:fldCharType="separate"/>
      </w:r>
      <w:r w:rsidR="00404909" w:rsidRPr="00404909">
        <w:rPr>
          <w:rFonts w:ascii="Arial" w:hAnsi="Arial" w:cs="Arial"/>
          <w:noProof/>
          <w:sz w:val="22"/>
          <w:szCs w:val="22"/>
        </w:rPr>
        <w:t>(49)</w:t>
      </w:r>
      <w:r w:rsidR="007E74C0" w:rsidRPr="00295F63">
        <w:rPr>
          <w:rFonts w:ascii="Arial" w:hAnsi="Arial" w:cs="Arial"/>
          <w:sz w:val="22"/>
          <w:szCs w:val="22"/>
        </w:rPr>
        <w:fldChar w:fldCharType="end"/>
      </w:r>
      <w:r w:rsidR="007E74C0" w:rsidRPr="00295F63">
        <w:rPr>
          <w:rFonts w:ascii="Arial" w:hAnsi="Arial" w:cs="Arial"/>
          <w:sz w:val="22"/>
          <w:szCs w:val="22"/>
        </w:rPr>
        <w:t xml:space="preserve">. </w:t>
      </w:r>
      <w:r w:rsidR="007E74C0">
        <w:rPr>
          <w:rFonts w:ascii="Arial" w:hAnsi="Arial" w:cs="Arial"/>
          <w:sz w:val="22"/>
          <w:szCs w:val="22"/>
        </w:rPr>
        <w:t>The present study revealed</w:t>
      </w:r>
      <w:r w:rsidR="007E74C0" w:rsidRPr="00295F63">
        <w:rPr>
          <w:rFonts w:ascii="Arial" w:hAnsi="Arial" w:cs="Arial"/>
          <w:sz w:val="22"/>
          <w:szCs w:val="22"/>
        </w:rPr>
        <w:t xml:space="preserve"> neuroanatomical alterations in </w:t>
      </w:r>
      <w:r w:rsidR="007E74C0">
        <w:rPr>
          <w:rFonts w:ascii="Arial" w:hAnsi="Arial" w:cs="Arial"/>
          <w:sz w:val="22"/>
          <w:szCs w:val="22"/>
        </w:rPr>
        <w:t xml:space="preserve">similar regions in </w:t>
      </w:r>
      <w:r w:rsidR="007E74C0" w:rsidRPr="00295F63">
        <w:rPr>
          <w:rFonts w:ascii="Arial" w:hAnsi="Arial" w:cs="Arial"/>
          <w:sz w:val="22"/>
          <w:szCs w:val="22"/>
        </w:rPr>
        <w:t>DID</w:t>
      </w:r>
      <w:r w:rsidR="007E74C0">
        <w:rPr>
          <w:rFonts w:ascii="Arial" w:hAnsi="Arial" w:cs="Arial"/>
          <w:sz w:val="22"/>
          <w:szCs w:val="22"/>
        </w:rPr>
        <w:t>:</w:t>
      </w:r>
      <w:r w:rsidR="007E74C0" w:rsidRPr="00295F63">
        <w:rPr>
          <w:rFonts w:ascii="Arial" w:hAnsi="Arial" w:cs="Arial"/>
          <w:sz w:val="22"/>
          <w:szCs w:val="22"/>
        </w:rPr>
        <w:t xml:space="preserve"> </w:t>
      </w:r>
      <w:r w:rsidR="007E74C0">
        <w:rPr>
          <w:rFonts w:ascii="Arial" w:hAnsi="Arial" w:cs="Arial"/>
          <w:sz w:val="22"/>
          <w:szCs w:val="22"/>
        </w:rPr>
        <w:t xml:space="preserve">spatially-distributed </w:t>
      </w:r>
      <w:r w:rsidR="007E74C0" w:rsidRPr="00295F63">
        <w:rPr>
          <w:rFonts w:ascii="Arial" w:hAnsi="Arial" w:cs="Arial"/>
          <w:sz w:val="22"/>
          <w:szCs w:val="22"/>
        </w:rPr>
        <w:t xml:space="preserve">reductions in CT and/or SA in a variety of cortical regions, including the anterior and posterior cingulate cortex, dorsolateral and medial prefrontal regions (DLPFC, MPFC), as well as the superior temporal sulcus (STS) and the temporo-parietal junctions. In many of these regions </w:t>
      </w:r>
      <w:r w:rsidR="007E74C0">
        <w:rPr>
          <w:rFonts w:ascii="Arial" w:hAnsi="Arial" w:cs="Arial"/>
          <w:sz w:val="22"/>
          <w:szCs w:val="22"/>
        </w:rPr>
        <w:t xml:space="preserve">there also was </w:t>
      </w:r>
      <w:r w:rsidR="007E74C0" w:rsidRPr="00295F63">
        <w:rPr>
          <w:rFonts w:ascii="Arial" w:hAnsi="Arial" w:cs="Arial"/>
          <w:sz w:val="22"/>
          <w:szCs w:val="22"/>
        </w:rPr>
        <w:t xml:space="preserve">reduction in regional </w:t>
      </w:r>
      <w:r w:rsidR="007E74C0">
        <w:rPr>
          <w:rFonts w:ascii="Arial" w:hAnsi="Arial" w:cs="Arial"/>
          <w:sz w:val="22"/>
          <w:szCs w:val="22"/>
        </w:rPr>
        <w:t xml:space="preserve">cortical </w:t>
      </w:r>
      <w:r w:rsidR="007E74C0" w:rsidRPr="00295F63">
        <w:rPr>
          <w:rFonts w:ascii="Arial" w:hAnsi="Arial" w:cs="Arial"/>
          <w:sz w:val="22"/>
          <w:szCs w:val="22"/>
        </w:rPr>
        <w:t xml:space="preserve">grey matter volume (CV) relative to </w:t>
      </w:r>
      <w:r w:rsidR="007E74C0">
        <w:rPr>
          <w:rFonts w:ascii="Arial" w:hAnsi="Arial" w:cs="Arial"/>
          <w:sz w:val="22"/>
          <w:szCs w:val="22"/>
        </w:rPr>
        <w:t xml:space="preserve">HC. These similarities </w:t>
      </w:r>
      <w:r w:rsidR="007E74C0" w:rsidRPr="0096734E">
        <w:rPr>
          <w:rFonts w:ascii="Arial" w:hAnsi="Arial" w:cs="Arial"/>
          <w:sz w:val="22"/>
          <w:szCs w:val="22"/>
        </w:rPr>
        <w:t xml:space="preserve">support the notion that DID </w:t>
      </w:r>
      <w:r w:rsidR="003038A0" w:rsidRPr="0096734E">
        <w:rPr>
          <w:rFonts w:ascii="Arial" w:hAnsi="Arial" w:cs="Arial"/>
          <w:sz w:val="22"/>
          <w:szCs w:val="22"/>
        </w:rPr>
        <w:t xml:space="preserve">is </w:t>
      </w:r>
      <w:r w:rsidR="007E74C0" w:rsidRPr="0096734E">
        <w:rPr>
          <w:rFonts w:ascii="Arial" w:hAnsi="Arial" w:cs="Arial"/>
          <w:sz w:val="22"/>
          <w:szCs w:val="22"/>
        </w:rPr>
        <w:t>a severe form of PTSD</w:t>
      </w:r>
      <w:r w:rsidR="007E74C0" w:rsidRPr="001B5A20">
        <w:rPr>
          <w:rFonts w:ascii="Arial" w:hAnsi="Arial" w:cs="Arial"/>
          <w:sz w:val="22"/>
          <w:szCs w:val="22"/>
        </w:rPr>
        <w:t>.</w:t>
      </w:r>
      <w:r w:rsidR="001B5A20" w:rsidRPr="001B5A20">
        <w:rPr>
          <w:rFonts w:ascii="Arial" w:hAnsi="Arial" w:cs="Arial"/>
          <w:sz w:val="22"/>
          <w:szCs w:val="22"/>
        </w:rPr>
        <w:t xml:space="preserve"> </w:t>
      </w:r>
      <w:r w:rsidR="001B5A20" w:rsidRPr="008C3C74">
        <w:rPr>
          <w:rFonts w:ascii="Arial" w:eastAsia="Times New Roman" w:hAnsi="Arial" w:cs="Arial"/>
          <w:sz w:val="22"/>
          <w:szCs w:val="22"/>
        </w:rPr>
        <w:t xml:space="preserve">This needs empirical confirmation as we could not </w:t>
      </w:r>
      <w:r w:rsidR="008F4787">
        <w:rPr>
          <w:rFonts w:ascii="Arial" w:eastAsia="Times New Roman" w:hAnsi="Arial" w:cs="Arial"/>
          <w:sz w:val="22"/>
          <w:szCs w:val="22"/>
        </w:rPr>
        <w:t xml:space="preserve">directly </w:t>
      </w:r>
      <w:r w:rsidR="001B5A20" w:rsidRPr="008C3C74">
        <w:rPr>
          <w:rFonts w:ascii="Arial" w:eastAsia="Times New Roman" w:hAnsi="Arial" w:cs="Arial"/>
          <w:sz w:val="22"/>
          <w:szCs w:val="22"/>
        </w:rPr>
        <w:t>compare DID with PTSD, but the indications that DID overlaps with PTSD and the involvement of early life trauma in developing DID can help tailor treatment of individuals suffering from this disorder.</w:t>
      </w:r>
    </w:p>
    <w:p w14:paraId="0F1EB042" w14:textId="76D97631" w:rsidR="00DD2F6D" w:rsidRPr="009A5829" w:rsidRDefault="00DD2F6D" w:rsidP="00DD2F6D">
      <w:pPr>
        <w:pStyle w:val="Tekstopmerking"/>
        <w:spacing w:line="360" w:lineRule="auto"/>
        <w:rPr>
          <w:rFonts w:ascii="Arial" w:hAnsi="Arial" w:cs="Arial"/>
          <w:sz w:val="22"/>
          <w:szCs w:val="22"/>
        </w:rPr>
      </w:pPr>
      <w:r>
        <w:rPr>
          <w:rFonts w:ascii="Arial" w:hAnsi="Arial" w:cs="Arial"/>
          <w:sz w:val="22"/>
          <w:szCs w:val="22"/>
        </w:rPr>
        <w:tab/>
        <w:t xml:space="preserve">Whole-brain correlation analyses revealed significant </w:t>
      </w:r>
      <w:r w:rsidR="005D430D">
        <w:rPr>
          <w:rFonts w:ascii="Arial" w:hAnsi="Arial" w:cs="Arial"/>
          <w:sz w:val="22"/>
          <w:szCs w:val="22"/>
        </w:rPr>
        <w:t>associations between dissociative symptoms</w:t>
      </w:r>
      <w:r w:rsidR="005D430D" w:rsidRPr="000D01FD">
        <w:rPr>
          <w:rFonts w:ascii="Arial" w:hAnsi="Arial" w:cs="Arial"/>
          <w:sz w:val="22"/>
          <w:szCs w:val="22"/>
        </w:rPr>
        <w:t xml:space="preserve"> </w:t>
      </w:r>
      <w:r w:rsidR="005D430D">
        <w:rPr>
          <w:rFonts w:ascii="Arial" w:hAnsi="Arial" w:cs="Arial"/>
          <w:sz w:val="22"/>
          <w:szCs w:val="22"/>
        </w:rPr>
        <w:t xml:space="preserve">in </w:t>
      </w:r>
      <w:r>
        <w:rPr>
          <w:rFonts w:ascii="Arial" w:hAnsi="Arial" w:cs="Arial"/>
          <w:sz w:val="22"/>
          <w:szCs w:val="22"/>
        </w:rPr>
        <w:t>SA and CV</w:t>
      </w:r>
      <w:r w:rsidR="005D430D">
        <w:rPr>
          <w:rFonts w:ascii="Arial" w:hAnsi="Arial" w:cs="Arial"/>
          <w:sz w:val="22"/>
          <w:szCs w:val="22"/>
        </w:rPr>
        <w:t xml:space="preserve"> in several cortical regions</w:t>
      </w:r>
      <w:r>
        <w:rPr>
          <w:rFonts w:ascii="Arial" w:hAnsi="Arial" w:cs="Arial"/>
          <w:sz w:val="22"/>
          <w:szCs w:val="22"/>
        </w:rPr>
        <w:t xml:space="preserve">, but not </w:t>
      </w:r>
      <w:r w:rsidR="005D430D">
        <w:rPr>
          <w:rFonts w:ascii="Arial" w:hAnsi="Arial" w:cs="Arial"/>
          <w:sz w:val="22"/>
          <w:szCs w:val="22"/>
        </w:rPr>
        <w:t>CT, including</w:t>
      </w:r>
      <w:r w:rsidRPr="000D01FD">
        <w:rPr>
          <w:rFonts w:ascii="Arial" w:hAnsi="Arial" w:cs="Arial"/>
          <w:sz w:val="22"/>
          <w:szCs w:val="22"/>
        </w:rPr>
        <w:t xml:space="preserve"> the bilateral prefrontal cortex, specifically the orbitofrontal cortex. This area </w:t>
      </w:r>
      <w:r w:rsidR="005E28E4">
        <w:rPr>
          <w:rFonts w:ascii="Arial" w:hAnsi="Arial" w:cs="Arial"/>
          <w:sz w:val="22"/>
          <w:szCs w:val="22"/>
        </w:rPr>
        <w:t xml:space="preserve">has </w:t>
      </w:r>
      <w:r w:rsidRPr="000D01FD">
        <w:rPr>
          <w:rFonts w:ascii="Arial" w:hAnsi="Arial" w:cs="Arial"/>
          <w:sz w:val="22"/>
          <w:szCs w:val="22"/>
        </w:rPr>
        <w:t>a pivotal role in the “orbitofrontal model”</w:t>
      </w:r>
      <w:r w:rsidRPr="000D01FD">
        <w:rPr>
          <w:rFonts w:ascii="Arial" w:hAnsi="Arial" w:cs="Arial"/>
          <w:sz w:val="22"/>
          <w:szCs w:val="22"/>
        </w:rPr>
        <w:fldChar w:fldCharType="begin" w:fldLock="1"/>
      </w:r>
      <w:r w:rsidR="00763A27">
        <w:rPr>
          <w:rFonts w:ascii="Arial" w:hAnsi="Arial" w:cs="Arial"/>
          <w:sz w:val="22"/>
          <w:szCs w:val="22"/>
        </w:rPr>
        <w:instrText>ADDIN CSL_CITATION { "citationItems" : [ { "id" : "ITEM-1", "itemData" : { "ISSN" : "1053-8100", "PMID" : "11697866", "abstract" : "This article elaborates on Putnam's \"discrete behavioral states\" model of dissociative identity disorder (Putnam, 1997) by proposing the involvement of the orbitalfrontal cortex in the development of DID and suggesting a potential neurodevelopmental mechanism responsible for the development of multiple representations of self. The proposed \"orbitalfrontal\" model integrates and elaborates on theory and research from four domains: the neurobiology of the orbitalfrontal cortex and its protective inhibitory role in the temporal organization of behavior, the development of emotion regulation, the development of the self, and experience-dependent reorganizing neocortical processes. The hypothesis being proposed is that the experience-dependent maturation of the orbitalfrontal cortex in early abusive environments, characterized by discontinuity in dyadic socioaffective interactions between the infant and the caregiver, may be responsible for a pattern of lateral inhibition between conflicting subsets of self-representations which are normally integrated into a unified self. The basic idea is that the discontinuity in the early caretaking environment is manifested in the discontinuity in the organization of the developing child's self.", "author" : [ { "dropping-particle" : "", "family" : "Forrest", "given" : "K A", "non-dropping-particle" : "", "parse-names" : false, "suffix" : "" } ], "container-title" : "Consciousness and cognition", "id" : "ITEM-1", "issue" : "3", "issued" : { "date-parts" : [ [ "2001", "9" ] ] }, "page" : "259-93", "title" : "Toward an etiology of dissociative identity disorder: a neurodevelopmental approach.", "type" : "article-journal", "volume" : "10" }, "uris" : [ "http://www.mendeley.com/documents/?uuid=b4c25b94-db11-4c4d-ac82-032f4890911b" ] } ], "mendeley" : { "formattedCitation" : "(50)", "plainTextFormattedCitation" : "(50)", "previouslyFormattedCitation" : "(50)" }, "properties" : { "noteIndex" : 0 }, "schema" : "https://github.com/citation-style-language/schema/raw/master/csl-citation.json" }</w:instrText>
      </w:r>
      <w:r w:rsidRPr="000D01FD">
        <w:rPr>
          <w:rFonts w:ascii="Arial" w:hAnsi="Arial" w:cs="Arial"/>
          <w:sz w:val="22"/>
          <w:szCs w:val="22"/>
        </w:rPr>
        <w:fldChar w:fldCharType="separate"/>
      </w:r>
      <w:r w:rsidR="004125B9" w:rsidRPr="004125B9">
        <w:rPr>
          <w:rFonts w:ascii="Arial" w:hAnsi="Arial" w:cs="Arial"/>
          <w:noProof/>
          <w:sz w:val="22"/>
          <w:szCs w:val="22"/>
        </w:rPr>
        <w:t>(50)</w:t>
      </w:r>
      <w:r w:rsidRPr="000D01FD">
        <w:rPr>
          <w:rFonts w:ascii="Arial" w:hAnsi="Arial" w:cs="Arial"/>
          <w:sz w:val="22"/>
          <w:szCs w:val="22"/>
        </w:rPr>
        <w:fldChar w:fldCharType="end"/>
      </w:r>
      <w:r w:rsidRPr="000D01FD">
        <w:rPr>
          <w:rFonts w:ascii="Arial" w:hAnsi="Arial" w:cs="Arial"/>
          <w:sz w:val="22"/>
          <w:szCs w:val="22"/>
        </w:rPr>
        <w:t xml:space="preserve"> of DID, which proposes the involvement of the orbitofrontal cortex in the development of DID based on the maturation of the orbitofrontal cortex in an early abusive environment. It is also important to note that the orbitofrontal cortex plays an important role in the excitatory and inhibitory mechanisms of the limbic system</w:t>
      </w:r>
      <w:r w:rsidRPr="000D01FD">
        <w:rPr>
          <w:rFonts w:ascii="Arial" w:hAnsi="Arial" w:cs="Arial"/>
          <w:sz w:val="22"/>
          <w:szCs w:val="22"/>
        </w:rPr>
        <w:fldChar w:fldCharType="begin" w:fldLock="1"/>
      </w:r>
      <w:r w:rsidR="00763A27">
        <w:rPr>
          <w:rFonts w:ascii="Arial" w:hAnsi="Arial" w:cs="Arial"/>
          <w:sz w:val="22"/>
          <w:szCs w:val="22"/>
        </w:rPr>
        <w:instrText>ADDIN CSL_CITATION { "citationItems" : [ { "id" : "ITEM-1", "itemData" : { "ISBN" : "1135693927", "abstract" : "During the past decade a diverse group of disciplines have simultaneously intensified their attention upon the scientific study of emotion. This proliferation of research on affective phenomena has been paralleled by an acceleration of investigations of early human structural and functional development. Developmental neuroscience is now delving into the ontogeny of brain systems that evolve to support the psychobiological underpinnings of socioemotional functioning. Studies of the infant brain demonstrate that its maturation is influenced by the environment and is experience-dependent. Developmental psychological research emphasizes that the infant's expanding socioaffective functions are critically influenced by the affect-transacting experiences it has with the primary caregiver. Concurrent developmental psychoanalytic research suggests that the mother's affect regulatory functions permanently shape the emerging self's capacity for self-organization. Studies of incipient relational processes and their effects on developing structure are thus an excellent paradigm for the deeper apprehension of the organization and dynamics of affective phenomena. This book brings together and presents the latest findings of socioemotional studies emerging from the developmental branches of various disciplines. It supplies psychological researchers and clinicians with relevant, up-to-date developmental neurobiological findings and insights, and exposes neuroscientists to recent developmental psychological and psychoanalytic studies of infants. The methodology of this theoretical research involves the integration of information that is being generated by the different fields that are studying the problem of socioaffective development--neurobiology, behavioral neurology, behavioral biology, sociobiology, social psychology, developmental psychology, developmental psychoanalysis, and infant psychiatry. A special emphasis is placed upon the application and incorporation of current developmental data from neurochemistry, neuroanatomy, neuropsychology, and neuroendocrinology into the main body of developmental theory. More than just a review of several literatures, the studies cited in this work are used as a multidisciplinary source pool of experimental data, theoretical concepts, and clinical observations that form the base and scaffolding of an overarching heuristic model of socioemotional development that is grounded in contemporary neuroscience. This psychoneurobiologica\u2026", "author" : [ { "dropping-particle" : "", "family" : "Schore", "given" : "Allan N.", "non-dropping-particle" : "", "parse-names" : false, "suffix" : "" } ], "id" : "ITEM-1", "issued" : { "date-parts" : [ [ "2012" ] ] }, "number-of-pages" : "736", "publisher" : "Psychology Press", "publisher-place" : "New York, London", "title" : "Affect Regulation and the Origin of the Self: The Neurobiology of Emotional Development", "type" : "book" }, "uris" : [ "http://www.mendeley.com/documents/?uuid=29c52da4-dd30-4701-97ee-e0c288c6bf27" ] } ], "mendeley" : { "formattedCitation" : "(51)", "plainTextFormattedCitation" : "(51)", "previouslyFormattedCitation" : "(51)" }, "properties" : { "noteIndex" : 0 }, "schema" : "https://github.com/citation-style-language/schema/raw/master/csl-citation.json" }</w:instrText>
      </w:r>
      <w:r w:rsidRPr="000D01FD">
        <w:rPr>
          <w:rFonts w:ascii="Arial" w:hAnsi="Arial" w:cs="Arial"/>
          <w:sz w:val="22"/>
          <w:szCs w:val="22"/>
        </w:rPr>
        <w:fldChar w:fldCharType="separate"/>
      </w:r>
      <w:r w:rsidR="004125B9" w:rsidRPr="004125B9">
        <w:rPr>
          <w:rFonts w:ascii="Arial" w:hAnsi="Arial" w:cs="Arial"/>
          <w:noProof/>
          <w:sz w:val="22"/>
          <w:szCs w:val="22"/>
        </w:rPr>
        <w:t>(51)</w:t>
      </w:r>
      <w:r w:rsidRPr="000D01FD">
        <w:rPr>
          <w:rFonts w:ascii="Arial" w:hAnsi="Arial" w:cs="Arial"/>
          <w:sz w:val="22"/>
          <w:szCs w:val="22"/>
        </w:rPr>
        <w:fldChar w:fldCharType="end"/>
      </w:r>
      <w:r w:rsidRPr="000D01FD">
        <w:rPr>
          <w:rFonts w:ascii="Arial" w:hAnsi="Arial" w:cs="Arial"/>
          <w:sz w:val="22"/>
          <w:szCs w:val="22"/>
        </w:rPr>
        <w:t xml:space="preserve">. Our results suggest that early childhood traumatization </w:t>
      </w:r>
      <w:r w:rsidRPr="000D01FD">
        <w:rPr>
          <w:rFonts w:ascii="Arial" w:eastAsia="Times New Roman" w:hAnsi="Arial" w:cs="Arial"/>
          <w:sz w:val="22"/>
          <w:szCs w:val="22"/>
          <w:lang w:val="en-GB"/>
        </w:rPr>
        <w:t>alters brain anatomy targeting the prefrontal cortex and the maturation of the limbic system</w:t>
      </w:r>
      <w:r w:rsidRPr="000D01FD">
        <w:rPr>
          <w:rFonts w:ascii="Arial" w:eastAsia="Times New Roman" w:hAnsi="Arial" w:cs="Arial"/>
          <w:sz w:val="22"/>
          <w:szCs w:val="22"/>
          <w:lang w:val="en-GB"/>
        </w:rPr>
        <w:fldChar w:fldCharType="begin" w:fldLock="1"/>
      </w:r>
      <w:r w:rsidR="00763A27">
        <w:rPr>
          <w:rFonts w:ascii="Arial" w:eastAsia="Times New Roman" w:hAnsi="Arial" w:cs="Arial"/>
          <w:sz w:val="22"/>
          <w:szCs w:val="22"/>
          <w:lang w:val="en-GB"/>
        </w:rPr>
        <w:instrText>ADDIN CSL_CITATION { "citationItems" : [ { "id" : "ITEM-1", "itemData" : { "DOI" : "10.1038/sj.npp.1301397", "ISSN" : "0893-133X", "PMID" : "17429411", "abstract" : "Childhood trauma is associated with higher rates of both mood and anxiety disorders in adulthood. The exposure of rats to stressors during juvenility has comparable effects, and was suggested as a model of induced predisposition for these disorders. The neural cell adhesion molecule (NCAM) and its polysialylated form PSA-NCAM are critically involved in neural development, activity-dependent synaptic plasticity, and learning processes. We examined the effects of exposure to stressors during juvenility on coping with stressors in adulthood and on NCAM and PSA-NCAM expression within the rat limbic system both soon after the exposure and in adulthood. Exposure to stressors during juvenility reduced novel-setting exploration and impaired two-way shuttle avoidance learning in adulthood. Among naive rats, a development-related decrease of about 50% was evident in the PSA-NCAM to NCAM expression ratio in the basolateral amygdala, in the CA1 and dentate gyrus regions of the hippocampus, and in the entorhinal cortex. In juvenile-stressed rats, we found no such decrease, but rather an increase in the polysialylation of NCAM ( approximately 50%), evident soon after the exposure to juvenile stress and also in adulthood. Our results suggest that exposure to stressors during juvenility alters the maturation of the limbic system, and potentially underlies the predisposition to exhibit stress-related symptoms in adulthood.", "author" : [ { "dropping-particle" : "", "family" : "Tsoory", "given" : "Michael", "non-dropping-particle" : "", "parse-names" : false, "suffix" : "" }, { "dropping-particle" : "", "family" : "Guterman", "given" : "Adi", "non-dropping-particle" : "", "parse-names" : false, "suffix" : "" }, { "dropping-particle" : "", "family" : "Richter-Levin", "given" : "Gal", "non-dropping-particle" : "", "parse-names" : false, "suffix" : "" } ], "container-title" : "Neuropsychopharmacology : official publication of the American College of Neuropsychopharmacology", "id" : "ITEM-1", "issue" : "2", "issued" : { "date-parts" : [ [ "2008", "1" ] ] }, "page" : "378-93", "title" : "Exposure to stressors during juvenility disrupts development-related alterations in the PSA-NCAM to NCAM expression ratio: potential relevance for mood and anxiety disorders.", "type" : "article-journal", "volume" : "33" }, "uris" : [ "http://www.mendeley.com/documents/?uuid=c2c70c51-650e-44d8-892c-0745cb5eba05" ] } ], "mendeley" : { "formattedCitation" : "(52)", "plainTextFormattedCitation" : "(52)", "previouslyFormattedCitation" : "(52)" }, "properties" : { "noteIndex" : 0 }, "schema" : "https://github.com/citation-style-language/schema/raw/master/csl-citation.json" }</w:instrText>
      </w:r>
      <w:r w:rsidRPr="000D01FD">
        <w:rPr>
          <w:rFonts w:ascii="Arial" w:eastAsia="Times New Roman" w:hAnsi="Arial" w:cs="Arial"/>
          <w:sz w:val="22"/>
          <w:szCs w:val="22"/>
          <w:lang w:val="en-GB"/>
        </w:rPr>
        <w:fldChar w:fldCharType="separate"/>
      </w:r>
      <w:r w:rsidR="004125B9" w:rsidRPr="004125B9">
        <w:rPr>
          <w:rFonts w:ascii="Arial" w:eastAsia="Times New Roman" w:hAnsi="Arial" w:cs="Arial"/>
          <w:noProof/>
          <w:sz w:val="22"/>
          <w:szCs w:val="22"/>
          <w:lang w:val="en-GB"/>
        </w:rPr>
        <w:t>(52)</w:t>
      </w:r>
      <w:r w:rsidRPr="000D01FD">
        <w:rPr>
          <w:rFonts w:ascii="Arial" w:eastAsia="Times New Roman" w:hAnsi="Arial" w:cs="Arial"/>
          <w:sz w:val="22"/>
          <w:szCs w:val="22"/>
          <w:lang w:val="en-GB"/>
        </w:rPr>
        <w:fldChar w:fldCharType="end"/>
      </w:r>
      <w:r w:rsidRPr="000D01FD">
        <w:rPr>
          <w:rFonts w:ascii="Arial" w:eastAsia="Times New Roman" w:hAnsi="Arial" w:cs="Arial"/>
          <w:sz w:val="22"/>
          <w:szCs w:val="22"/>
          <w:lang w:val="en-GB"/>
        </w:rPr>
        <w:t xml:space="preserve">, which might be mediated by </w:t>
      </w:r>
      <w:r w:rsidRPr="000D01FD">
        <w:rPr>
          <w:rFonts w:ascii="Arial" w:hAnsi="Arial" w:cs="Arial"/>
          <w:sz w:val="22"/>
          <w:szCs w:val="22"/>
        </w:rPr>
        <w:t>gene expression in the adult prefrontal cortex</w:t>
      </w:r>
      <w:r w:rsidRPr="000D01FD">
        <w:rPr>
          <w:rFonts w:ascii="Arial" w:hAnsi="Arial" w:cs="Arial"/>
          <w:sz w:val="22"/>
          <w:szCs w:val="22"/>
        </w:rPr>
        <w:fldChar w:fldCharType="begin" w:fldLock="1"/>
      </w:r>
      <w:r w:rsidR="00763A27">
        <w:rPr>
          <w:rFonts w:ascii="Arial" w:hAnsi="Arial" w:cs="Arial"/>
          <w:sz w:val="22"/>
          <w:szCs w:val="22"/>
        </w:rPr>
        <w:instrText>ADDIN CSL_CITATION { "citationItems" : [ { "id" : "ITEM-1", "itemData" : { "DOI" : "10.1016/j.biopsych.2008.11.028", "ISSN" : "1873-2402", "PMID" : "19150054", "abstract" : "BACKGROUND: Childhood maltreatment and early trauma leave lasting imprints on neural mechanisms of cognition and emotion. With a rat model of infant maltreatment by a caregiver, we investigated whether early-life adversity leaves lasting epigenetic marks at the brain-derived neurotrophic factor (BDNF) gene in the central nervous system.\n\nMETHODS: During the first postnatal week, we exposed infant rats to stressed caretakers that predominately displayed abusive behaviors. We then assessed DNA methylation patterns and gene expression throughout the life span as well as DNA methylation patterns in the next generation of infants.\n\nRESULTS: Early maltreatment produced persisting changes in methylation of BDNF DNA that caused altered BDNF gene expression in the adult prefrontal cortex. Furthermore, we observed altered BDNF DNA methylation in offspring of females that had previously experienced the maltreatment regimen.\n\nCONCLUSIONS: These results highlight an epigenetic molecular mechanism potentially underlying lifelong and transgenerational perpetuation of changes in gene expression and behavior incited by early abuse and neglect.", "author" : [ { "dropping-particle" : "", "family" : "Roth", "given" : "Tania L", "non-dropping-particle" : "", "parse-names" : false, "suffix" : "" }, { "dropping-particle" : "", "family" : "Lubin", "given" : "Farah D", "non-dropping-particle" : "", "parse-names" : false, "suffix" : "" }, { "dropping-particle" : "", "family" : "Funk", "given" : "Adam J", "non-dropping-particle" : "", "parse-names" : false, "suffix" : "" }, { "dropping-particle" : "", "family" : "Sweatt", "given" : "J David", "non-dropping-particle" : "", "parse-names" : false, "suffix" : "" } ], "container-title" : "Biological psychiatry", "id" : "ITEM-1", "issue" : "9", "issued" : { "date-parts" : [ [ "2009", "5", "1" ] ] }, "page" : "760-9", "title" : "Lasting epigenetic influence of early-life adversity on the BDNF gene.", "type" : "article-journal", "volume" : "65" }, "uris" : [ "http://www.mendeley.com/documents/?uuid=91041631-d3d8-4dc1-81b4-ccd1d418ec9b" ] } ], "mendeley" : { "formattedCitation" : "(7)", "plainTextFormattedCitation" : "(7)", "previouslyFormattedCitation" : "(7)" }, "properties" : { "noteIndex" : 0 }, "schema" : "https://github.com/citation-style-language/schema/raw/master/csl-citation.json" }</w:instrText>
      </w:r>
      <w:r w:rsidRPr="000D01FD">
        <w:rPr>
          <w:rFonts w:ascii="Arial" w:hAnsi="Arial" w:cs="Arial"/>
          <w:sz w:val="22"/>
          <w:szCs w:val="22"/>
        </w:rPr>
        <w:fldChar w:fldCharType="separate"/>
      </w:r>
      <w:r w:rsidR="004125B9" w:rsidRPr="004125B9">
        <w:rPr>
          <w:rFonts w:ascii="Arial" w:hAnsi="Arial" w:cs="Arial"/>
          <w:noProof/>
          <w:sz w:val="22"/>
          <w:szCs w:val="22"/>
        </w:rPr>
        <w:t>(7)</w:t>
      </w:r>
      <w:r w:rsidRPr="000D01FD">
        <w:rPr>
          <w:rFonts w:ascii="Arial" w:hAnsi="Arial" w:cs="Arial"/>
          <w:sz w:val="22"/>
          <w:szCs w:val="22"/>
        </w:rPr>
        <w:fldChar w:fldCharType="end"/>
      </w:r>
      <w:r w:rsidRPr="000D01FD">
        <w:rPr>
          <w:rFonts w:ascii="Arial" w:hAnsi="Arial" w:cs="Arial"/>
          <w:sz w:val="22"/>
          <w:szCs w:val="22"/>
        </w:rPr>
        <w:t xml:space="preserve">. We speculate that in DID the orbitofrontal cortex has matured differently under the influence of an abusive environment which consequently affects emotion regulation in the limbic </w:t>
      </w:r>
      <w:r w:rsidRPr="009A5829">
        <w:rPr>
          <w:rFonts w:ascii="Arial" w:hAnsi="Arial" w:cs="Arial"/>
          <w:sz w:val="22"/>
          <w:szCs w:val="22"/>
        </w:rPr>
        <w:t>system</w:t>
      </w:r>
      <w:r w:rsidR="00763A27" w:rsidRPr="008C3C74">
        <w:rPr>
          <w:rFonts w:ascii="Arial" w:hAnsi="Arial" w:cs="Arial"/>
          <w:sz w:val="22"/>
          <w:szCs w:val="22"/>
        </w:rPr>
        <w:fldChar w:fldCharType="begin" w:fldLock="1"/>
      </w:r>
      <w:r w:rsidR="00A43B10" w:rsidRPr="009A5829">
        <w:rPr>
          <w:rFonts w:ascii="Arial" w:hAnsi="Arial" w:cs="Arial"/>
          <w:sz w:val="22"/>
          <w:szCs w:val="22"/>
        </w:rPr>
        <w:instrText>ADDIN CSL_CITATION { "citationItems" : [ { "id" : "ITEM-1", "itemData" : { "DOI" : "10.1176/appi.ajp.2009.09081168", "ISSN" : "1535-7228", "PMID" : "20360318", "abstract" : "In this article, the authors present evidence regarding a dissociative subtype of PTSD, with clinical and neurobiological features that can be distinguished from nondissociative PTSD. The dissociative subtype is characterized by overmodulation of affect, while the more common undermodulated type involves the predominance of reexperiencing and hyperarousal symptoms. This article focuses on the neural manifestations of the dissociative subtype in PTSD and compares it to those underlying the reexperiencing/hyperaroused subtype. A model that includes these two types of emotion dysregulation in PTSD is described. In this model, reexperiencing/hyperarousal reactivity is viewed as a form of emotion dysregulation that involves emotional undermodulation, mediated by failure of prefrontal inhibition of limbic regions. In contrast, the dissociative subtype of PTSD is described as a form of emotion dysregulation that involves emotional overmodulation mediated by midline prefrontal inhibition of the same limbic regions. Both types of modulation are involved in a dynamic interplay and lead to alternating symptom profiles in PTSD. These findings have important implications for treatment of PTSD, including the need to assess patients with PTSD for dissociative symptoms and to incorporate the treatment of dissociative symptoms into stage-oriented trauma treatment.", "author" : [ { "dropping-particle" : "", "family" : "Lanius", "given" : "Ruth A", "non-dropping-particle" : "", "parse-names" : false, "suffix" : "" }, { "dropping-particle" : "", "family" : "Vermetten", "given" : "Eric", "non-dropping-particle" : "", "parse-names" : false, "suffix" : "" }, { "dropping-particle" : "", "family" : "Loewenstein", "given" : "Richard J", "non-dropping-particle" : "", "parse-names" : false, "suffix" : "" }, { "dropping-particle" : "", "family" : "Brand", "given" : "Bethany", "non-dropping-particle" : "", "parse-names" : false, "suffix" : "" }, { "dropping-particle" : "", "family" : "Schmahl", "given" : "Christian", "non-dropping-particle" : "", "parse-names" : false, "suffix" : "" }, { "dropping-particle" : "", "family" : "Bremner", "given" : "J Douglas", "non-dropping-particle" : "", "parse-names" : false, "suffix" : "" }, { "dropping-particle" : "", "family" : "Spiegel", "given" : "David", "non-dropping-particle" : "", "parse-names" : false, "suffix" : "" } ], "container-title" : "The American journal of psychiatry", "id" : "ITEM-1", "issue" : "6", "issued" : { "date-parts" : [ [ "2010", "6" ] ] }, "page" : "640-7", "title" : "Emotion modulation in PTSD: Clinical and neurobiological evidence for a dissociative subtype.", "type" : "article-journal", "volume" : "167" }, "uris" : [ "http://www.mendeley.com/documents/?uuid=8b3c7103-4e51-46f0-8863-7087c928bf2d" ] }, { "id" : "ITEM-2", "itemData" : { "DOI" : "10.1016/j.pscychresns.2014.05.005", "ISSN" : "1872-7123", "PMID" : "24976633", "abstract" : "Imaging studies in posttraumatic stress disorder (PTSD) have shown differing neural network patterns between hypo-aroused/dissociative and hyper-aroused subtypes. Since dissociative identity disorder (DID) involves different emotional states, this study tests whether DID fits aspects of the differing brain-activation patterns in PTSD. While brain activation was monitored using positron emission tomography, DID individuals (n=11) and matched DID-simulating healthy controls (n=16) underwent an autobiographic script-driven imagery paradigm in a hypo-aroused and a hyper-aroused identity state. Results were consistent with those previously found in the two PTSD subtypes for the rostral/dorsal anterior cingulate, the prefrontal cortex, and the amygdala and insula, respectively. Furthermore, the dissociative identity state uniquely activated the posterior association areas and the parahippocampal gyri, whereas the hyper-aroused identity state uniquely activated the caudate nucleus. Therefore, we proposed an extended PTSD-based neurobiological model for emotion modulation in DID: the hypo-aroused identity state activates the prefrontal cortex, cingulate, posterior association areas and parahippocampal gyri, thereby overmodulating emotion regulation; the hyper-aroused identity state activates the amygdala and insula as well as the dorsal striatum, thereby undermodulating emotion regulation. This confirms the notion that DID is related to PTSD as hypo-aroused and hyper-arousal states in DID and PTSD are similar.", "author" : [ { "dropping-particle" : "", "family" : "Reinders", "given" : "Antje A T S", "non-dropping-particle" : "", "parse-names" : false, "suffix" : "" }, { "dropping-particle" : "", "family" : "Willemsen", "given" : "Antoon T M", "non-dropping-particle" : "", "parse-names" : false, "suffix" : "" }, { "dropping-particle" : "", "family" : "Boer", "given" : "Johan A", "non-dropping-particle" : "den", "parse-names" : false, "suffix" : "" }, { "dropping-particle" : "", "family" : "Vos", "given" : "Herry P J", "non-dropping-particle" : "", "parse-names" : false, "suffix" : "" }, { "dropping-particle" : "", "family" : "Veltman", "given" : "Dick J", "non-dropping-particle" : "", "parse-names" : false, "suffix" : "" }, { "dropping-particle" : "", "family" : "Loewenstein", "given" : "Richard J", "non-dropping-particle" : "", "parse-names" : false, "suffix" : "" } ], "container-title" : "Psychiatry research: Neuroimaging", "id" : "ITEM-2", "issue" : "3", "issued" : { "date-parts" : [ [ "2014", "6", "4" ] ] }, "page" : "236-43", "publisher" : "Elsevier", "title" : "Opposite brain emotion-regulation patterns in identity states of dissociative identity disorder: A PET study and neurobiological model.", "type" : "article-journal", "volume" : "223" }, "uris" : [ "http://www.mendeley.com/documents/?uuid=a6c97ed7-cccf-48a9-8090-08ad36f8428a" ] } ], "mendeley" : { "formattedCitation" : "(16,53)", "plainTextFormattedCitation" : "(16,53)", "previouslyFormattedCitation" : "(16,53)" }, "properties" : { "noteIndex" : 0 }, "schema" : "https://github.com/citation-style-language/schema/raw/master/csl-citation.json" }</w:instrText>
      </w:r>
      <w:r w:rsidR="00763A27" w:rsidRPr="008C3C74">
        <w:rPr>
          <w:rFonts w:ascii="Arial" w:hAnsi="Arial" w:cs="Arial"/>
          <w:sz w:val="22"/>
          <w:szCs w:val="22"/>
        </w:rPr>
        <w:fldChar w:fldCharType="separate"/>
      </w:r>
      <w:r w:rsidR="00B3421A" w:rsidRPr="009A5829">
        <w:rPr>
          <w:rFonts w:ascii="Arial" w:hAnsi="Arial" w:cs="Arial"/>
          <w:noProof/>
          <w:sz w:val="22"/>
          <w:szCs w:val="22"/>
        </w:rPr>
        <w:t>(16,53)</w:t>
      </w:r>
      <w:r w:rsidR="00763A27" w:rsidRPr="008C3C74">
        <w:rPr>
          <w:rFonts w:ascii="Arial" w:hAnsi="Arial" w:cs="Arial"/>
          <w:sz w:val="22"/>
          <w:szCs w:val="22"/>
        </w:rPr>
        <w:fldChar w:fldCharType="end"/>
      </w:r>
      <w:r w:rsidRPr="009A5829">
        <w:rPr>
          <w:rFonts w:ascii="Arial" w:hAnsi="Arial" w:cs="Arial"/>
          <w:sz w:val="22"/>
          <w:szCs w:val="22"/>
        </w:rPr>
        <w:t>.</w:t>
      </w:r>
      <w:r w:rsidR="009A5829" w:rsidRPr="009A5829">
        <w:rPr>
          <w:rFonts w:ascii="Arial" w:hAnsi="Arial" w:cs="Arial"/>
          <w:sz w:val="22"/>
          <w:szCs w:val="22"/>
        </w:rPr>
        <w:t xml:space="preserve"> </w:t>
      </w:r>
      <w:r w:rsidR="009A5829" w:rsidRPr="008C3C74">
        <w:rPr>
          <w:rFonts w:ascii="Arial" w:eastAsia="Times New Roman" w:hAnsi="Arial" w:cs="Arial"/>
          <w:sz w:val="22"/>
          <w:szCs w:val="22"/>
        </w:rPr>
        <w:t xml:space="preserve">In sum, considering the orbitofrontal cortex’s role in emotion processing and –regulation, the SA reduction in this </w:t>
      </w:r>
      <w:r w:rsidR="009A5829" w:rsidRPr="008C3C74">
        <w:rPr>
          <w:rFonts w:ascii="Arial" w:eastAsia="Times New Roman" w:hAnsi="Arial" w:cs="Arial"/>
          <w:sz w:val="22"/>
          <w:szCs w:val="22"/>
        </w:rPr>
        <w:lastRenderedPageBreak/>
        <w:t>region and negative association with dissociative symptoms provide clinically relevant implications for the treatment of DID.</w:t>
      </w:r>
    </w:p>
    <w:p w14:paraId="2F332D69" w14:textId="47D9E63B" w:rsidR="00426811" w:rsidRPr="008C3C74" w:rsidRDefault="00DD2F6D" w:rsidP="008C3C74">
      <w:pPr>
        <w:pStyle w:val="Tekstopmerking"/>
        <w:spacing w:line="360" w:lineRule="auto"/>
        <w:rPr>
          <w:rFonts w:ascii="Arial" w:hAnsi="Arial" w:cs="Arial"/>
          <w:sz w:val="22"/>
          <w:szCs w:val="22"/>
        </w:rPr>
      </w:pPr>
      <w:r w:rsidRPr="000D01FD">
        <w:rPr>
          <w:rFonts w:ascii="Arial" w:hAnsi="Arial" w:cs="Arial"/>
          <w:sz w:val="22"/>
          <w:szCs w:val="22"/>
        </w:rPr>
        <w:tab/>
        <w:t>Other studies have reported positive correlations between dissociative phenomenology and grey matter volume. A voxel-based morphometry (VBM) study reported a significant positive correlation between dissociation severity (depersonalisation/derealization as measured by items 29 and 30 of the Clinician Administered PTSD Scale (CAPS)) and grey matter volume in the right middle frontal gyrus but did not report any significant negative correlation</w:t>
      </w:r>
      <w:r w:rsidRPr="000D01FD">
        <w:rPr>
          <w:rFonts w:ascii="Arial" w:hAnsi="Arial" w:cs="Arial"/>
          <w:sz w:val="22"/>
          <w:szCs w:val="22"/>
        </w:rPr>
        <w:fldChar w:fldCharType="begin" w:fldLock="1"/>
      </w:r>
      <w:r w:rsidR="00763A27">
        <w:rPr>
          <w:rFonts w:ascii="Arial" w:hAnsi="Arial" w:cs="Arial"/>
          <w:sz w:val="22"/>
          <w:szCs w:val="22"/>
        </w:rPr>
        <w:instrText>ADDIN CSL_CITATION { "citationItems" : [ { "id" : "ITEM-1", "itemData" : { "DOI" : "10.1111/acps.12464", "ISSN" : "1600-0447", "PMID" : "26138235", "abstract" : "OBJECTIVE: One factor potentially contributing to the heterogeneity of previous results on structural grey matter alterations in adult participants suffering from post-traumatic stress disorder (PTSD) is the varying levels of dissociative symptomatology. The aim of this study was therefore to test whether the recently defined dissociative subtype of PTSD characterized by symptoms of depersonalization and derealization is characterized by specific differences in volumetric brain morphology. METHOD: Whole-brain MRI data were acquired for 59 patients with PTSD. Voxel-based morphometry was carried out to test for group differences between patients classified as belonging (n = 15) vs. not belonging (n = 44) to the dissociative subtype of PTSD. The correlation between dissociation (depersonalization/derealization) severity and grey matter volume was computed. RESULTS: Patients with PTSD classified as belonging to the dissociative subtype exhibited greater grey matter volume in the right precentral and fusiform gyri as well as less volume in the right inferior temporal gyrus. Greater dissociation severity was associated with greater volume in the right middle frontal gyrus. CONCLUSION: The results of this first whole-brain investigation of specific grey matter volume in dissociative subtype PTSD indentified structural aberrations in regions subserving the processing and regulation of emotional arousal. These might constitute characteristic biomarkers for the dissociative subtype PTSD.", "author" : [ { "dropping-particle" : "", "family" : "Daniels", "given" : "J K", "non-dropping-particle" : "", "parse-names" : false, "suffix" : "" }, { "dropping-particle" : "", "family" : "Frewen", "given" : "P", "non-dropping-particle" : "", "parse-names" : false, "suffix" : "" }, { "dropping-particle" : "", "family" : "Theberge", "given" : "J", "non-dropping-particle" : "", "parse-names" : false, "suffix" : "" }, { "dropping-particle" : "", "family" : "Lanius", "given" : "R A", "non-dropping-particle" : "", "parse-names" : false, "suffix" : "" } ], "container-title" : "Acta psychiatrica Scandinavica", "id" : "ITEM-1", "issued" : { "date-parts" : [ [ "2015", "7", "3" ] ] }, "title" : "Structural brain aberrations associated with the dissociative subtype of post-traumatic stress disorder.", "type" : "article-journal" }, "uris" : [ "http://www.mendeley.com/documents/?uuid=29b41e21-3598-485b-b5dc-7b63f519871c" ] } ], "mendeley" : { "formattedCitation" : "(23)", "plainTextFormattedCitation" : "(23)", "previouslyFormattedCitation" : "(23)" }, "properties" : { "noteIndex" : 0 }, "schema" : "https://github.com/citation-style-language/schema/raw/master/csl-citation.json" }</w:instrText>
      </w:r>
      <w:r w:rsidRPr="000D01FD">
        <w:rPr>
          <w:rFonts w:ascii="Arial" w:hAnsi="Arial" w:cs="Arial"/>
          <w:sz w:val="22"/>
          <w:szCs w:val="22"/>
        </w:rPr>
        <w:fldChar w:fldCharType="separate"/>
      </w:r>
      <w:r w:rsidR="004125B9" w:rsidRPr="004125B9">
        <w:rPr>
          <w:rFonts w:ascii="Arial" w:hAnsi="Arial" w:cs="Arial"/>
          <w:noProof/>
          <w:sz w:val="22"/>
          <w:szCs w:val="22"/>
        </w:rPr>
        <w:t>(23)</w:t>
      </w:r>
      <w:r w:rsidRPr="000D01FD">
        <w:rPr>
          <w:rFonts w:ascii="Arial" w:hAnsi="Arial" w:cs="Arial"/>
          <w:sz w:val="22"/>
          <w:szCs w:val="22"/>
        </w:rPr>
        <w:fldChar w:fldCharType="end"/>
      </w:r>
      <w:r w:rsidR="00C364BA">
        <w:rPr>
          <w:rFonts w:ascii="Arial" w:hAnsi="Arial" w:cs="Arial"/>
          <w:sz w:val="22"/>
          <w:szCs w:val="22"/>
        </w:rPr>
        <w:t>. However, t</w:t>
      </w:r>
      <w:r w:rsidR="00EF19D1">
        <w:rPr>
          <w:rFonts w:ascii="Arial" w:hAnsi="Arial" w:cs="Arial"/>
          <w:sz w:val="22"/>
          <w:szCs w:val="22"/>
        </w:rPr>
        <w:t>his study is different i</w:t>
      </w:r>
      <w:r w:rsidRPr="000D01FD">
        <w:rPr>
          <w:rFonts w:ascii="Arial" w:hAnsi="Arial" w:cs="Arial"/>
          <w:sz w:val="22"/>
          <w:szCs w:val="22"/>
        </w:rPr>
        <w:t xml:space="preserve">n several aspects from our study, namely in the relatively low number of individuals with dissociative PTSD (n=15), </w:t>
      </w:r>
      <w:r w:rsidR="00B3421A" w:rsidRPr="000D01FD">
        <w:rPr>
          <w:rFonts w:ascii="Arial" w:hAnsi="Arial" w:cs="Arial"/>
          <w:sz w:val="22"/>
          <w:szCs w:val="22"/>
        </w:rPr>
        <w:t>dissociative symptom severity</w:t>
      </w:r>
      <w:r w:rsidR="0048126D">
        <w:rPr>
          <w:rFonts w:ascii="Arial" w:hAnsi="Arial" w:cs="Arial"/>
          <w:sz w:val="22"/>
          <w:szCs w:val="22"/>
        </w:rPr>
        <w:t>,</w:t>
      </w:r>
      <w:r w:rsidR="00B3421A" w:rsidRPr="000D01FD">
        <w:rPr>
          <w:rFonts w:ascii="Arial" w:hAnsi="Arial" w:cs="Arial"/>
          <w:sz w:val="22"/>
          <w:szCs w:val="22"/>
        </w:rPr>
        <w:t xml:space="preserve"> </w:t>
      </w:r>
      <w:r w:rsidRPr="000D01FD">
        <w:rPr>
          <w:rFonts w:ascii="Arial" w:hAnsi="Arial" w:cs="Arial"/>
          <w:sz w:val="22"/>
          <w:szCs w:val="22"/>
        </w:rPr>
        <w:t xml:space="preserve">only </w:t>
      </w:r>
      <w:r w:rsidR="0048126D">
        <w:rPr>
          <w:rFonts w:ascii="Arial" w:hAnsi="Arial" w:cs="Arial"/>
          <w:sz w:val="22"/>
          <w:szCs w:val="22"/>
        </w:rPr>
        <w:t xml:space="preserve">including </w:t>
      </w:r>
      <w:r w:rsidRPr="000D01FD">
        <w:rPr>
          <w:rFonts w:ascii="Arial" w:hAnsi="Arial" w:cs="Arial"/>
          <w:sz w:val="22"/>
          <w:szCs w:val="22"/>
        </w:rPr>
        <w:t>depersonalization/derealizati</w:t>
      </w:r>
      <w:r w:rsidR="0048126D">
        <w:rPr>
          <w:rFonts w:ascii="Arial" w:hAnsi="Arial" w:cs="Arial"/>
          <w:sz w:val="22"/>
          <w:szCs w:val="22"/>
        </w:rPr>
        <w:t xml:space="preserve">on as a dissociative symptom, </w:t>
      </w:r>
      <w:r w:rsidR="007028D7">
        <w:rPr>
          <w:rFonts w:ascii="Arial" w:hAnsi="Arial" w:cs="Arial"/>
          <w:sz w:val="22"/>
          <w:szCs w:val="22"/>
        </w:rPr>
        <w:t>and data analysi</w:t>
      </w:r>
      <w:r w:rsidRPr="000D01FD">
        <w:rPr>
          <w:rFonts w:ascii="Arial" w:hAnsi="Arial" w:cs="Arial"/>
          <w:sz w:val="22"/>
          <w:szCs w:val="22"/>
        </w:rPr>
        <w:t>s methodology. Another study applying a region-of-interest approach found a positive correlation between depersonalization and the dorsal anterior cingulate cortex (dACC) in child maltreatment-related PTSD</w:t>
      </w:r>
      <w:r w:rsidRPr="000D01FD">
        <w:rPr>
          <w:rFonts w:ascii="Arial" w:hAnsi="Arial" w:cs="Arial"/>
          <w:sz w:val="22"/>
          <w:szCs w:val="22"/>
        </w:rPr>
        <w:fldChar w:fldCharType="begin" w:fldLock="1"/>
      </w:r>
      <w:r w:rsidR="00763A27">
        <w:rPr>
          <w:rFonts w:ascii="Arial" w:hAnsi="Arial" w:cs="Arial"/>
          <w:sz w:val="22"/>
          <w:szCs w:val="22"/>
        </w:rPr>
        <w:instrText>ADDIN CSL_CITATION { "citationItems" : [ { "id" : "ITEM-1", "itemData" : { "DOI" : "10.1371/journal.pone.0139807", "ISSN" : "1932-6203", "PMID" : "26439117", "abstract" : "Alexithymia, or \"no words for feelings\", is highly prevalent in samples with childhood maltreatment and posttraumatic stress disorder (PTSD). The dorsal anterior cingulate cortex (dACC) has been identified as a key region involved in alexithymia, early life trauma, and PTSD. Functional alterations in the dACC also have been associated with alexithymia in PTSD. This study examined whether dACC morphology is a neural correlate of alexithymia in child maltreatment-related PTSD. Sixteen adults with PTSD and a history of childhood sexual abuse, physical abuse, or exposure to domestic violence, and 24 healthy controls (HC) completed the Toronto Alexithymia Scale 20 (TAS-20) and underwent magnetic resonance imaging. Cortical thickness of the dACC was measured using FreeSurfer, and values were correlated with TAS-20 scores, controlling for sex and age, in both groups. Average TAS-20 score was significantly higher in the PTSD than the HC group. TAS-20 scores were significantly positively associated with dACC thickness only in the PTSD group. This association was strongest in the left hemisphere and for TAS-20 subscales that assess difficulty identifying and describing feelings. We found that increasing dACC gray matter thickness is a neural correlate of greater alexithymia in the context of PTSD with childhood maltreatment. While findings are correlational, they motivate further inquiry into the relationships between childhood adversity, emotional awareness and expression, and dACC morphologic development in trauma-related psychopathology.", "author" : [ { "dropping-particle" : "", "family" : "Demers", "given" : "Lauren A", "non-dropping-particle" : "", "parse-names" : false, "suffix" : "" }, { "dropping-particle" : "", "family" : "Olson", "given" : "Elizabeth A", "non-dropping-particle" : "", "parse-names" : false, "suffix" : "" }, { "dropping-particle" : "", "family" : "Crowley", "given" : "David J", "non-dropping-particle" : "", "parse-names" : false, "suffix" : "" }, { "dropping-particle" : "", "family" : "Rauch", "given" : "Scott L", "non-dropping-particle" : "", "parse-names" : false, "suffix" : "" }, { "dropping-particle" : "", "family" : "Rosso", "given" : "Isabelle M", "non-dropping-particle" : "", "parse-names" : false, "suffix" : "" } ], "container-title" : "PloS one", "id" : "ITEM-1", "issue" : "10", "issued" : { "date-parts" : [ [ "2015", "1" ] ] }, "page" : "e0139807", "title" : "Dorsal Anterior Cingulate Thickness Is Related to Alexithymia in Childhood Trauma-Related PTSD.", "type" : "article-journal", "volume" : "10" }, "uris" : [ "http://www.mendeley.com/documents/?uuid=7550588a-b549-4a7b-8f90-dbb1b23565a3" ] } ], "mendeley" : { "formattedCitation" : "(24)", "plainTextFormattedCitation" : "(24)", "previouslyFormattedCitation" : "(24)" }, "properties" : { "noteIndex" : 0 }, "schema" : "https://github.com/citation-style-language/schema/raw/master/csl-citation.json" }</w:instrText>
      </w:r>
      <w:r w:rsidRPr="000D01FD">
        <w:rPr>
          <w:rFonts w:ascii="Arial" w:hAnsi="Arial" w:cs="Arial"/>
          <w:sz w:val="22"/>
          <w:szCs w:val="22"/>
        </w:rPr>
        <w:fldChar w:fldCharType="separate"/>
      </w:r>
      <w:r w:rsidR="004125B9" w:rsidRPr="004125B9">
        <w:rPr>
          <w:rFonts w:ascii="Arial" w:hAnsi="Arial" w:cs="Arial"/>
          <w:noProof/>
          <w:sz w:val="22"/>
          <w:szCs w:val="22"/>
        </w:rPr>
        <w:t>(24)</w:t>
      </w:r>
      <w:r w:rsidRPr="000D01FD">
        <w:rPr>
          <w:rFonts w:ascii="Arial" w:hAnsi="Arial" w:cs="Arial"/>
          <w:sz w:val="22"/>
          <w:szCs w:val="22"/>
        </w:rPr>
        <w:fldChar w:fldCharType="end"/>
      </w:r>
      <w:r w:rsidR="00C364BA">
        <w:rPr>
          <w:rFonts w:ascii="Arial" w:hAnsi="Arial" w:cs="Arial"/>
          <w:sz w:val="22"/>
          <w:szCs w:val="22"/>
        </w:rPr>
        <w:t>. However, in the latter</w:t>
      </w:r>
      <w:r w:rsidRPr="000D01FD">
        <w:rPr>
          <w:rFonts w:ascii="Arial" w:hAnsi="Arial" w:cs="Arial"/>
          <w:sz w:val="22"/>
          <w:szCs w:val="22"/>
        </w:rPr>
        <w:t xml:space="preserve"> study the dACC thickness did not differ between patients and controls, and only 16 patients with PTSD were included</w:t>
      </w:r>
      <w:r w:rsidR="0048126D" w:rsidRPr="00053AFD">
        <w:rPr>
          <w:rFonts w:ascii="Arial" w:hAnsi="Arial" w:cs="Arial"/>
          <w:sz w:val="22"/>
          <w:szCs w:val="22"/>
        </w:rPr>
        <w:t>.</w:t>
      </w:r>
      <w:r w:rsidRPr="00053AFD">
        <w:rPr>
          <w:rFonts w:ascii="Arial" w:hAnsi="Arial" w:cs="Arial"/>
          <w:sz w:val="22"/>
          <w:szCs w:val="22"/>
        </w:rPr>
        <w:t xml:space="preserve"> </w:t>
      </w:r>
      <w:r w:rsidR="0031327D" w:rsidRPr="00053AFD">
        <w:rPr>
          <w:rFonts w:ascii="Arial" w:hAnsi="Arial" w:cs="Arial"/>
          <w:sz w:val="22"/>
          <w:szCs w:val="22"/>
        </w:rPr>
        <w:t xml:space="preserve"> </w:t>
      </w:r>
    </w:p>
    <w:p w14:paraId="50F2DD90" w14:textId="7BC6CDE2" w:rsidR="00CF37BB" w:rsidRPr="008C3C74" w:rsidRDefault="00364BF6" w:rsidP="008C3C74">
      <w:pPr>
        <w:spacing w:line="360" w:lineRule="auto"/>
        <w:ind w:firstLine="720"/>
        <w:rPr>
          <w:rFonts w:ascii="Arial" w:hAnsi="Arial" w:cs="Arial"/>
          <w:color w:val="000000" w:themeColor="text1"/>
          <w:sz w:val="22"/>
          <w:szCs w:val="22"/>
        </w:rPr>
      </w:pPr>
      <w:r w:rsidRPr="008C3C74">
        <w:rPr>
          <w:rFonts w:ascii="Arial" w:hAnsi="Arial" w:cs="Arial"/>
          <w:color w:val="000000" w:themeColor="text1"/>
          <w:sz w:val="22"/>
          <w:szCs w:val="22"/>
        </w:rPr>
        <w:t xml:space="preserve">We did not find any </w:t>
      </w:r>
      <w:r w:rsidRPr="008C3C74">
        <w:rPr>
          <w:rFonts w:ascii="Arial" w:eastAsia="Times New Roman" w:hAnsi="Arial" w:cs="Arial"/>
          <w:sz w:val="22"/>
          <w:szCs w:val="22"/>
        </w:rPr>
        <w:t xml:space="preserve">significant bivariate correlations between measures of traumatization and morphometric features for any of the three developmental periods. This is most likely due to the lack of sufficient variance in the TEC scores, which precludes the examination of significant associations (see Table 2). However, as it is importance to link our main results to early traumatization we proceeded with a post-hoc exploratory analysis. We further reduced the earliest developmental period to a period from 0 to 3 years. Importantly, this did increase the variance in the data (emotional neglect (M = </w:t>
      </w:r>
      <w:r w:rsidRPr="008C3C74">
        <w:rPr>
          <w:rFonts w:ascii="Arial" w:hAnsi="Arial" w:cs="Arial"/>
          <w:sz w:val="22"/>
          <w:szCs w:val="22"/>
        </w:rPr>
        <w:t>4.11, SD = 1.95), emotional abuse (M = 3.64, SD = 2.16), physical abuse (M = 3.50, SD = 2.28), sexual harassment (M = 1.82, SD = 2.33), and sexual abuse (M = 3.25, SD = 2.30)). Performing a regression analyses with this earliest developmental period, we did not find any significances following corrections for</w:t>
      </w:r>
      <w:r w:rsidR="004E7CB9">
        <w:rPr>
          <w:rFonts w:ascii="Arial" w:hAnsi="Arial" w:cs="Arial"/>
          <w:sz w:val="22"/>
          <w:szCs w:val="22"/>
        </w:rPr>
        <w:t xml:space="preserve"> multiple comparisons. However,</w:t>
      </w:r>
      <w:r w:rsidRPr="008C3C74">
        <w:rPr>
          <w:rFonts w:ascii="Arial" w:hAnsi="Arial" w:cs="Arial"/>
          <w:sz w:val="22"/>
          <w:szCs w:val="22"/>
        </w:rPr>
        <w:t xml:space="preserve"> we did find significant neuroanatomical correlates of early childhood trauma at a</w:t>
      </w:r>
      <w:r w:rsidR="004E7CB9">
        <w:rPr>
          <w:rFonts w:ascii="Arial" w:hAnsi="Arial" w:cs="Arial"/>
          <w:sz w:val="22"/>
          <w:szCs w:val="22"/>
        </w:rPr>
        <w:t>n</w:t>
      </w:r>
      <w:r w:rsidRPr="008C3C74">
        <w:rPr>
          <w:rFonts w:ascii="Arial" w:hAnsi="Arial" w:cs="Arial"/>
          <w:color w:val="000000" w:themeColor="text1"/>
          <w:sz w:val="22"/>
          <w:szCs w:val="22"/>
        </w:rPr>
        <w:t xml:space="preserve"> uncorrected, vertex-wise threshold of p&lt;0.02 (two-tailed). These results are now presented in Supplementary Table 2 and Supplementary Figure 2. While these results need to be interpreted with care due to uncorrected significance levels, it is important to note that the neuroanatomical correlates of very early traumatization </w:t>
      </w:r>
      <w:r w:rsidRPr="008C3C74">
        <w:rPr>
          <w:rFonts w:ascii="Arial" w:hAnsi="Arial" w:cs="Arial"/>
          <w:sz w:val="22"/>
          <w:szCs w:val="22"/>
        </w:rPr>
        <w:t>overlap with many brain areas previously noted in many functional MRI studies examining atypical brain functioning in dissociative personality state during emotion regulation</w:t>
      </w:r>
      <w:r w:rsidR="002468CA" w:rsidRPr="00053AFD">
        <w:rPr>
          <w:rFonts w:ascii="Arial" w:hAnsi="Arial" w:cs="Arial"/>
          <w:sz w:val="22"/>
          <w:szCs w:val="22"/>
        </w:rPr>
        <w:t xml:space="preserve">, </w:t>
      </w:r>
      <w:r w:rsidR="00432ECE" w:rsidRPr="00053AFD">
        <w:rPr>
          <w:rFonts w:ascii="Arial" w:hAnsi="Arial" w:cs="Arial"/>
          <w:sz w:val="22"/>
          <w:szCs w:val="22"/>
        </w:rPr>
        <w:t>such</w:t>
      </w:r>
      <w:r w:rsidR="00432ECE">
        <w:rPr>
          <w:rFonts w:ascii="Arial" w:hAnsi="Arial" w:cs="Arial"/>
          <w:sz w:val="22"/>
          <w:szCs w:val="22"/>
        </w:rPr>
        <w:t xml:space="preserve"> as </w:t>
      </w:r>
      <w:r w:rsidR="002468CA" w:rsidRPr="000D01FD">
        <w:rPr>
          <w:rFonts w:ascii="Arial" w:hAnsi="Arial" w:cs="Arial"/>
          <w:sz w:val="22"/>
          <w:szCs w:val="22"/>
        </w:rPr>
        <w:t>parietal regions</w:t>
      </w:r>
      <w:r w:rsidR="00197A3E">
        <w:rPr>
          <w:rFonts w:ascii="Arial" w:hAnsi="Arial" w:cs="Arial"/>
          <w:sz w:val="22"/>
          <w:szCs w:val="22"/>
        </w:rPr>
        <w:t xml:space="preserve"> and </w:t>
      </w:r>
      <w:r w:rsidR="002468CA" w:rsidRPr="000D01FD">
        <w:rPr>
          <w:rFonts w:ascii="Arial" w:hAnsi="Arial" w:cs="Arial"/>
          <w:sz w:val="22"/>
          <w:szCs w:val="22"/>
        </w:rPr>
        <w:t xml:space="preserve">prefrontal </w:t>
      </w:r>
      <w:r w:rsidR="00197A3E">
        <w:rPr>
          <w:rFonts w:ascii="Arial" w:hAnsi="Arial" w:cs="Arial"/>
          <w:sz w:val="22"/>
          <w:szCs w:val="22"/>
        </w:rPr>
        <w:t>regions</w:t>
      </w:r>
      <w:r w:rsidR="002468CA" w:rsidRPr="000D01FD">
        <w:rPr>
          <w:rFonts w:ascii="Arial" w:hAnsi="Arial" w:cs="Arial"/>
          <w:sz w:val="22"/>
          <w:szCs w:val="22"/>
        </w:rPr>
        <w:fldChar w:fldCharType="begin" w:fldLock="1"/>
      </w:r>
      <w:r w:rsidR="002468CA">
        <w:rPr>
          <w:rFonts w:ascii="Arial" w:hAnsi="Arial" w:cs="Arial"/>
          <w:sz w:val="22"/>
          <w:szCs w:val="22"/>
        </w:rPr>
        <w:instrText>ADDIN CSL_CITATION { "citationItems" : [ { "id" : "ITEM-1", "itemData" : { "DOI" : "10.1016/j.pscychresns.2014.05.005", "ISSN" : "1872-7123", "PMID" : "24976633", "abstract" : "Imaging studies in posttraumatic stress disorder (PTSD) have shown differing neural network patterns between hypo-aroused/dissociative and hyper-aroused subtypes. Since dissociative identity disorder (DID) involves different emotional states, this study tests whether DID fits aspects of the differing brain-activation patterns in PTSD. While brain activation was monitored using positron emission tomography, DID individuals (n=11) and matched DID-simulating healthy controls (n=16) underwent an autobiographic script-driven imagery paradigm in a hypo-aroused and a hyper-aroused identity state. Results were consistent with those previously found in the two PTSD subtypes for the rostral/dorsal anterior cingulate, the prefrontal cortex, and the amygdala and insula, respectively. Furthermore, the dissociative identity state uniquely activated the posterior association areas and the parahippocampal gyri, whereas the hyper-aroused identity state uniquely activated the caudate nucleus. Therefore, we proposed an extended PTSD-based neurobiological model for emotion modulation in DID: the hypo-aroused identity state activates the prefrontal cortex, cingulate, posterior association areas and parahippocampal gyri, thereby overmodulating emotion regulation; the hyper-aroused identity state activates the amygdala and insula as well as the dorsal striatum, thereby undermodulating emotion regulation. This confirms the notion that DID is related to PTSD as hypo-aroused and hyper-arousal states in DID and PTSD are similar.", "author" : [ { "dropping-particle" : "", "family" : "Reinders", "given" : "Antje A T S", "non-dropping-particle" : "", "parse-names" : false, "suffix" : "" }, { "dropping-particle" : "", "family" : "Willemsen", "given" : "Antoon T M", "non-dropping-particle" : "", "parse-names" : false, "suffix" : "" }, { "dropping-particle" : "", "family" : "Boer", "given" : "Johan A", "non-dropping-particle" : "den", "parse-names" : false, "suffix" : "" }, { "dropping-particle" : "", "family" : "Vos", "given" : "Herry P J", "non-dropping-particle" : "", "parse-names" : false, "suffix" : "" }, { "dropping-particle" : "", "family" : "Veltman", "given" : "Dick J", "non-dropping-particle" : "", "parse-names" : false, "suffix" : "" }, { "dropping-particle" : "", "family" : "Loewenstein", "given" : "Richard J", "non-dropping-particle" : "", "parse-names" : false, "suffix" : "" } ], "container-title" : "Psychiatry research: Neuroimaging", "id" : "ITEM-1", "issue" : "3", "issued" : { "date-parts" : [ [ "2014", "6", "4" ] ] }, "page" : "236-43", "publisher" : "Elsevier", "title" : "Opposite brain emotion-regulation patterns in identity states of dissociative identity disorder: A PET study and neurobiological model.", "type" : "article-journal", "volume" : "223" }, "uris" : [ "http://www.mendeley.com/documents/?uuid=a6c97ed7-cccf-48a9-8090-08ad36f8428a" ] }, { "id" : "ITEM-2", "itemData" : { "DOI" : "10.1097/NMD.0000000000000522", "ISSN" : "1539-736X", "PMID" : "27120718", "abstract" : "The etiology of dissociative identity disorder (DID) remains a topic of debate. Proponents of the fantasy model and the trauma model of DID have both called for more empirical research. To this end, the current study presents new and extended data analyses of a previously published H2O positron emission tomography imaging study. This study included 29 subjects: 11 patients with DID and 10 high- and 8 low-fantasy-prone DID-simulating mentally healthy control subjects. All subjects underwent an autobiographical memory script-driven (neutral and trauma related) imagery paradigm in 2 (simulated) dissociative personality states (neutral and trauma related). Psychobiological and psychophysiological data were obtained. Results of the new post-hoc tests on the psychophysiological responses support the trauma model. New results of the brain imaging data did not support the fantasy model. This study extends previously published results by offering important new supporting data for the trauma model of DID.", "author" : [ { "dropping-particle" : "", "family" : "Reinders", "given" : "Antje A T S", "non-dropping-particle" : "", "parse-names" : false, "suffix" : "" }, { "dropping-particle" : "", "family" : "Willemsen", "given" : "Antoon T M", "non-dropping-particle" : "", "parse-names" : false, "suffix" : "" }, { "dropping-particle" : "", "family" : "Vissia", "given" : "Eline M", "non-dropping-particle" : "", "parse-names" : false, "suffix" : "" }, { "dropping-particle" : "", "family" : "Vos", "given" : "Herry P J", "non-dropping-particle" : "", "parse-names" : false, "suffix" : "" }, { "dropping-particle" : "", "family" : "Boer", "given" : "Johan A", "non-dropping-particle" : "den", "parse-names" : false, "suffix" : "" }, { "dropping-particle" : "", "family" : "Nijenhuis", "given" : "Ellert R S", "non-dropping-particle" : "", "parse-names" : false, "suffix" : "" } ], "container-title" : "The Journal of nervous and mental disease", "id" : "ITEM-2", "issue" : "6", "issued" : { "date-parts" : [ [ "2016", "6" ] ] }, "page" : "445-57", "title" : "The Psychobiology of Authentic and Simulated Dissociative Personality States: The Full Monty.", "type" : "article-journal", "volume" : "204" }, "uris" : [ "http://www.mendeley.com/documents/?uuid=8a122d13-573d-353c-b03f-87b7c1681836" ] } ], "mendeley" : { "formattedCitation" : "(16,17)", "plainTextFormattedCitation" : "(16,17)", "previouslyFormattedCitation" : "(16,17)" }, "properties" : { "noteIndex" : 0 }, "schema" : "https://github.com/citation-style-language/schema/raw/master/csl-citation.json" }</w:instrText>
      </w:r>
      <w:r w:rsidR="002468CA" w:rsidRPr="000D01FD">
        <w:rPr>
          <w:rFonts w:ascii="Arial" w:hAnsi="Arial" w:cs="Arial"/>
          <w:sz w:val="22"/>
          <w:szCs w:val="22"/>
        </w:rPr>
        <w:fldChar w:fldCharType="separate"/>
      </w:r>
      <w:r w:rsidR="002468CA" w:rsidRPr="00521D67">
        <w:rPr>
          <w:rFonts w:ascii="Arial" w:hAnsi="Arial" w:cs="Arial"/>
          <w:noProof/>
          <w:sz w:val="22"/>
          <w:szCs w:val="22"/>
        </w:rPr>
        <w:t>(16,17)</w:t>
      </w:r>
      <w:r w:rsidR="002468CA" w:rsidRPr="000D01FD">
        <w:rPr>
          <w:rFonts w:ascii="Arial" w:hAnsi="Arial" w:cs="Arial"/>
          <w:sz w:val="22"/>
          <w:szCs w:val="22"/>
        </w:rPr>
        <w:fldChar w:fldCharType="end"/>
      </w:r>
      <w:r w:rsidR="00197A3E">
        <w:rPr>
          <w:rFonts w:ascii="Arial" w:hAnsi="Arial" w:cs="Arial"/>
          <w:sz w:val="22"/>
          <w:szCs w:val="22"/>
        </w:rPr>
        <w:t xml:space="preserve">, as well as with </w:t>
      </w:r>
      <w:r w:rsidR="00432ECE">
        <w:rPr>
          <w:rFonts w:ascii="Arial" w:hAnsi="Arial" w:cs="Arial"/>
          <w:sz w:val="22"/>
          <w:szCs w:val="22"/>
        </w:rPr>
        <w:t>previously found neuroanatomical aberrations</w:t>
      </w:r>
      <w:r w:rsidR="00432ECE">
        <w:rPr>
          <w:rFonts w:ascii="Arial" w:hAnsi="Arial" w:cs="Arial"/>
          <w:sz w:val="22"/>
          <w:szCs w:val="22"/>
        </w:rPr>
        <w:fldChar w:fldCharType="begin" w:fldLock="1"/>
      </w:r>
      <w:r w:rsidR="00D44A97">
        <w:rPr>
          <w:rFonts w:ascii="Arial" w:hAnsi="Arial" w:cs="Arial"/>
          <w:sz w:val="22"/>
          <w:szCs w:val="22"/>
        </w:rPr>
        <w:instrText>ADDIN CSL_CITATION { "citationItems" : [ { "id" : "ITEM-1", "itemData" : { "DOI" : "10.1016/j.pscychresns.2015.01.014", "ISSN" : "1872-7123", "PMID" : "25670646", "abstract" : "Neuroanatomical evidence on the relationship between posttraumatic stress disorder (PTSD) and dissociative disorders is still lacking. We acquired brain structural magnetic resonance imaging (MRI) scans from 17 patients with dissociative identity disorder (DID) and co-morbid PTSD (DID-PTSD) and 16 patients with PTSD but without DID (PTSD-only), and 32 healthy controls (HC), and compared their whole-brain cortical and subcortical gray matter (GM) morphological measurements. Associations between GM measurements and severity of dissociative and depersonalization/derealization symptoms or lifetime traumatizing events were evaluated in the patient groups. DID-PTSD and PTSD-only patients, compared with HC, had similarly smaller cortical GM volumes of the whole brain and of frontal, temporal and insular cortices. DID-PTSD patients additionally showed smaller hippocampal and larger pallidum volumes relative to HC, and larger putamen and pallidum volumes relative to PTSD-only. Severity of lifetime traumatizing events and volume of the hippocampus were negatively correlated. Severity of dissociative and depersonalization/derealization symptoms correlated positively with volume of the putamen and pallidum, and negatively with volume of the inferior parietal cortex. Shared abnormal brain structures in DID-PTSD and PTSD-only, small hippocampal volume in DID-PTSD, more severe lifetime traumatizing events in DID-PTSD compared with PTSD-only, and negative correlations between lifetime traumatizing events and hippocampal volume suggest a trauma-related etiology for DID. Our results provide neurobiological evidence for the side-by-side nosological classification of PTSD and DID in the DSM-5.", "author" : [ { "dropping-particle" : "", "family" : "Chalavi", "given" : "Sima", "non-dropping-particle" : "", "parse-names" : false, "suffix" : "" }, { "dropping-particle" : "", "family" : "Vissia", "given" : "Eline M", "non-dropping-particle" : "", "parse-names" : false, "suffix" : "" }, { "dropping-particle" : "", "family" : "Giesen", "given" : "Mechteld E", "non-dropping-particle" : "", "parse-names" : false, "suffix" : "" }, { "dropping-particle" : "", "family" : "Nijenhuis", "given" : "Ellert R S", "non-dropping-particle" : "", "parse-names" : false, "suffix" : "" }, { "dropping-particle" : "", "family" : "Draijer", "given" : "Nel", "non-dropping-particle" : "", "parse-names" : false, "suffix" : "" }, { "dropping-particle" : "", "family" : "Barker", "given" : "Gareth J", "non-dropping-particle" : "", "parse-names" : false, "suffix" : "" }, { "dropping-particle" : "", "family" : "Veltman", "given" : "Dick J", "non-dropping-particle" : "", "parse-names" : false, "suffix" : "" }, { "dropping-particle" : "", "family" : "Reinders", "given" : "Antje A T S", "non-dropping-particle" : "", "parse-names" : false, "suffix" : "" } ], "container-title" : "Psychiatry research", "id" : "ITEM-1", "issue" : "3", "issued" : { "date-parts" : [ [ "2015", "3", "30" ] ] }, "page" : "308-19", "title" : "Similar cortical but not subcortical gray matter abnormalities in women with posttraumatic stress disorder with versus without dissociative identity disorder.", "type" : "article-journal", "volume" : "231" }, "uris" : [ "http://www.mendeley.com/documents/?uuid=c274a8e7-d6e5-4d5f-8f0d-760c4923a452" ] } ], "mendeley" : { "formattedCitation" : "(4)", "plainTextFormattedCitation" : "(4)", "previouslyFormattedCitation" : "(4)" }, "properties" : { "noteIndex" : 0 }, "schema" : "https://github.com/citation-style-language/schema/raw/master/csl-citation.json" }</w:instrText>
      </w:r>
      <w:r w:rsidR="00432ECE">
        <w:rPr>
          <w:rFonts w:ascii="Arial" w:hAnsi="Arial" w:cs="Arial"/>
          <w:sz w:val="22"/>
          <w:szCs w:val="22"/>
        </w:rPr>
        <w:fldChar w:fldCharType="separate"/>
      </w:r>
      <w:r w:rsidR="00432ECE" w:rsidRPr="00432ECE">
        <w:rPr>
          <w:rFonts w:ascii="Arial" w:hAnsi="Arial" w:cs="Arial"/>
          <w:noProof/>
          <w:sz w:val="22"/>
          <w:szCs w:val="22"/>
        </w:rPr>
        <w:t>(4)</w:t>
      </w:r>
      <w:r w:rsidR="00432ECE">
        <w:rPr>
          <w:rFonts w:ascii="Arial" w:hAnsi="Arial" w:cs="Arial"/>
          <w:sz w:val="22"/>
          <w:szCs w:val="22"/>
        </w:rPr>
        <w:fldChar w:fldCharType="end"/>
      </w:r>
      <w:r w:rsidR="002468CA" w:rsidRPr="000D01FD">
        <w:rPr>
          <w:rFonts w:ascii="Arial" w:hAnsi="Arial" w:cs="Arial"/>
          <w:sz w:val="22"/>
          <w:szCs w:val="22"/>
        </w:rPr>
        <w:t>.</w:t>
      </w:r>
      <w:r w:rsidR="002468CA">
        <w:rPr>
          <w:rFonts w:ascii="Arial" w:hAnsi="Arial" w:cs="Arial"/>
          <w:sz w:val="22"/>
          <w:szCs w:val="22"/>
        </w:rPr>
        <w:t xml:space="preserve"> </w:t>
      </w:r>
    </w:p>
    <w:p w14:paraId="505A4257" w14:textId="06C608D3" w:rsidR="001B4566" w:rsidRPr="00F03FF8" w:rsidRDefault="00302EE1">
      <w:pPr>
        <w:pStyle w:val="Tekstopmerking"/>
        <w:spacing w:line="360" w:lineRule="auto"/>
        <w:rPr>
          <w:rFonts w:ascii="Arial" w:hAnsi="Arial" w:cs="Arial"/>
          <w:sz w:val="22"/>
          <w:szCs w:val="22"/>
        </w:rPr>
      </w:pPr>
      <w:r w:rsidRPr="00266592">
        <w:rPr>
          <w:rFonts w:ascii="Arial" w:hAnsi="Arial" w:cs="Arial"/>
          <w:sz w:val="22"/>
          <w:szCs w:val="22"/>
        </w:rPr>
        <w:tab/>
      </w:r>
      <w:r w:rsidR="000446F6">
        <w:rPr>
          <w:rFonts w:ascii="Arial" w:hAnsi="Arial" w:cs="Arial"/>
          <w:sz w:val="22"/>
          <w:szCs w:val="22"/>
        </w:rPr>
        <w:t>F</w:t>
      </w:r>
      <w:r w:rsidR="00FD5EA2" w:rsidRPr="00266592">
        <w:rPr>
          <w:rFonts w:ascii="Arial" w:hAnsi="Arial" w:cs="Arial"/>
          <w:sz w:val="22"/>
          <w:szCs w:val="22"/>
        </w:rPr>
        <w:t xml:space="preserve">uture research </w:t>
      </w:r>
      <w:r w:rsidR="0057366C" w:rsidRPr="00266592">
        <w:rPr>
          <w:rFonts w:ascii="Arial" w:hAnsi="Arial" w:cs="Arial"/>
          <w:sz w:val="22"/>
          <w:szCs w:val="22"/>
        </w:rPr>
        <w:t xml:space="preserve">should </w:t>
      </w:r>
      <w:r w:rsidR="007F15E2">
        <w:rPr>
          <w:rFonts w:ascii="Arial" w:hAnsi="Arial" w:cs="Arial"/>
          <w:sz w:val="22"/>
          <w:szCs w:val="22"/>
        </w:rPr>
        <w:t>detail</w:t>
      </w:r>
      <w:r w:rsidR="00FD5EA2" w:rsidRPr="00266592">
        <w:rPr>
          <w:rFonts w:ascii="Arial" w:hAnsi="Arial" w:cs="Arial"/>
          <w:sz w:val="22"/>
          <w:szCs w:val="22"/>
        </w:rPr>
        <w:t xml:space="preserve"> </w:t>
      </w:r>
      <w:r w:rsidR="00D7294B" w:rsidRPr="00266592">
        <w:rPr>
          <w:rFonts w:ascii="Arial" w:hAnsi="Arial" w:cs="Arial"/>
          <w:sz w:val="22"/>
          <w:szCs w:val="22"/>
        </w:rPr>
        <w:t>the environmental risk factors</w:t>
      </w:r>
      <w:r w:rsidR="0036045C">
        <w:rPr>
          <w:rFonts w:ascii="Arial" w:hAnsi="Arial" w:cs="Arial"/>
          <w:sz w:val="22"/>
          <w:szCs w:val="22"/>
        </w:rPr>
        <w:t xml:space="preserve"> associated with abnormal</w:t>
      </w:r>
      <w:r w:rsidR="00D7294B" w:rsidRPr="00266592">
        <w:rPr>
          <w:rFonts w:ascii="Arial" w:hAnsi="Arial" w:cs="Arial"/>
          <w:sz w:val="22"/>
          <w:szCs w:val="22"/>
        </w:rPr>
        <w:t xml:space="preserve"> </w:t>
      </w:r>
      <w:r w:rsidR="0057366C" w:rsidRPr="00266592">
        <w:rPr>
          <w:rFonts w:ascii="Arial" w:hAnsi="Arial" w:cs="Arial"/>
          <w:sz w:val="22"/>
          <w:szCs w:val="22"/>
        </w:rPr>
        <w:t>brain development in DID,</w:t>
      </w:r>
      <w:r w:rsidR="00D7294B" w:rsidRPr="00266592">
        <w:rPr>
          <w:rFonts w:ascii="Arial" w:hAnsi="Arial" w:cs="Arial"/>
          <w:sz w:val="22"/>
          <w:szCs w:val="22"/>
        </w:rPr>
        <w:t xml:space="preserve"> determine </w:t>
      </w:r>
      <w:r w:rsidR="00FD5EA2" w:rsidRPr="00266592">
        <w:rPr>
          <w:rFonts w:ascii="Arial" w:hAnsi="Arial" w:cs="Arial"/>
          <w:sz w:val="22"/>
          <w:szCs w:val="22"/>
        </w:rPr>
        <w:t xml:space="preserve">the neural mechanisms that underlie the </w:t>
      </w:r>
      <w:r w:rsidR="0057366C" w:rsidRPr="00266592">
        <w:rPr>
          <w:rFonts w:ascii="Arial" w:hAnsi="Arial" w:cs="Arial"/>
          <w:sz w:val="22"/>
          <w:szCs w:val="22"/>
        </w:rPr>
        <w:t xml:space="preserve">involved </w:t>
      </w:r>
      <w:r w:rsidR="00FD5EA2" w:rsidRPr="00266592">
        <w:rPr>
          <w:rFonts w:ascii="Arial" w:hAnsi="Arial" w:cs="Arial"/>
          <w:sz w:val="22"/>
          <w:szCs w:val="22"/>
        </w:rPr>
        <w:t>anatomical deficits</w:t>
      </w:r>
      <w:r w:rsidR="00D7294B" w:rsidRPr="00266592">
        <w:rPr>
          <w:rFonts w:ascii="Arial" w:hAnsi="Arial" w:cs="Arial"/>
          <w:sz w:val="22"/>
          <w:szCs w:val="22"/>
        </w:rPr>
        <w:t>,</w:t>
      </w:r>
      <w:r w:rsidR="0057366C" w:rsidRPr="00266592">
        <w:rPr>
          <w:rFonts w:ascii="Arial" w:hAnsi="Arial" w:cs="Arial"/>
          <w:sz w:val="22"/>
          <w:szCs w:val="22"/>
        </w:rPr>
        <w:t xml:space="preserve"> and</w:t>
      </w:r>
      <w:r w:rsidR="00D7294B" w:rsidRPr="00266592">
        <w:rPr>
          <w:rFonts w:ascii="Arial" w:hAnsi="Arial" w:cs="Arial"/>
          <w:sz w:val="22"/>
          <w:szCs w:val="22"/>
        </w:rPr>
        <w:t xml:space="preserve"> establish </w:t>
      </w:r>
      <w:r w:rsidR="00D7294B" w:rsidRPr="00266592">
        <w:rPr>
          <w:rFonts w:ascii="Arial" w:hAnsi="Arial" w:cs="Arial"/>
          <w:sz w:val="22"/>
          <w:szCs w:val="22"/>
          <w:lang w:val="en-GB"/>
        </w:rPr>
        <w:t>epigenetic mark</w:t>
      </w:r>
      <w:r w:rsidR="00827991" w:rsidRPr="00266592">
        <w:rPr>
          <w:rFonts w:ascii="Arial" w:hAnsi="Arial" w:cs="Arial"/>
          <w:sz w:val="22"/>
          <w:szCs w:val="22"/>
          <w:lang w:val="en-GB"/>
        </w:rPr>
        <w:t>er</w:t>
      </w:r>
      <w:r w:rsidR="00D7294B" w:rsidRPr="00266592">
        <w:rPr>
          <w:rFonts w:ascii="Arial" w:hAnsi="Arial" w:cs="Arial"/>
          <w:sz w:val="22"/>
          <w:szCs w:val="22"/>
          <w:lang w:val="en-GB"/>
        </w:rPr>
        <w:t xml:space="preserve">s that identify inter-individual </w:t>
      </w:r>
      <w:r w:rsidR="00D7294B" w:rsidRPr="00266592">
        <w:rPr>
          <w:rFonts w:ascii="Arial" w:hAnsi="Arial" w:cs="Arial"/>
          <w:sz w:val="22"/>
          <w:szCs w:val="22"/>
          <w:lang w:val="en-GB"/>
        </w:rPr>
        <w:lastRenderedPageBreak/>
        <w:t>differences in susceptibility to</w:t>
      </w:r>
      <w:r w:rsidR="00DD058D" w:rsidRPr="00266592">
        <w:rPr>
          <w:rFonts w:ascii="Arial" w:hAnsi="Arial" w:cs="Arial"/>
          <w:sz w:val="22"/>
          <w:szCs w:val="22"/>
          <w:lang w:val="en-GB"/>
        </w:rPr>
        <w:t xml:space="preserve"> severe and chronic adversity starting </w:t>
      </w:r>
      <w:r w:rsidR="00D7294B" w:rsidRPr="00266592">
        <w:rPr>
          <w:rFonts w:ascii="Arial" w:hAnsi="Arial" w:cs="Arial"/>
          <w:sz w:val="22"/>
          <w:szCs w:val="22"/>
          <w:lang w:val="en-GB"/>
        </w:rPr>
        <w:t>in early life.</w:t>
      </w:r>
      <w:r w:rsidR="007E74C0" w:rsidRPr="00266592">
        <w:rPr>
          <w:rFonts w:ascii="Arial" w:hAnsi="Arial" w:cs="Arial"/>
          <w:sz w:val="22"/>
          <w:szCs w:val="22"/>
        </w:rPr>
        <w:t xml:space="preserve"> </w:t>
      </w:r>
      <w:r w:rsidR="001B4566" w:rsidRPr="00266592">
        <w:rPr>
          <w:rFonts w:ascii="Arial" w:hAnsi="Arial" w:cs="Arial"/>
          <w:sz w:val="22"/>
          <w:szCs w:val="22"/>
        </w:rPr>
        <w:t xml:space="preserve">Our </w:t>
      </w:r>
      <w:r w:rsidR="005A147A" w:rsidRPr="00266592">
        <w:rPr>
          <w:rFonts w:ascii="Arial" w:hAnsi="Arial" w:cs="Arial"/>
          <w:sz w:val="22"/>
          <w:szCs w:val="22"/>
        </w:rPr>
        <w:t xml:space="preserve">study includes </w:t>
      </w:r>
      <w:r w:rsidR="00243070" w:rsidRPr="00266592">
        <w:rPr>
          <w:rFonts w:ascii="Arial" w:hAnsi="Arial" w:cs="Arial"/>
          <w:sz w:val="22"/>
          <w:szCs w:val="22"/>
        </w:rPr>
        <w:t>several limitations. First,</w:t>
      </w:r>
      <w:r w:rsidR="005A147A" w:rsidRPr="00266592">
        <w:rPr>
          <w:rFonts w:ascii="Arial" w:hAnsi="Arial" w:cs="Arial"/>
          <w:sz w:val="22"/>
          <w:szCs w:val="22"/>
        </w:rPr>
        <w:t xml:space="preserve"> findings suggest</w:t>
      </w:r>
      <w:r w:rsidR="001B4566" w:rsidRPr="00266592">
        <w:rPr>
          <w:rFonts w:ascii="Arial" w:hAnsi="Arial" w:cs="Arial"/>
          <w:sz w:val="22"/>
          <w:szCs w:val="22"/>
        </w:rPr>
        <w:t xml:space="preserve"> that the neuroanatomical differences </w:t>
      </w:r>
      <w:r w:rsidR="00BE30FC">
        <w:rPr>
          <w:rFonts w:ascii="Arial" w:hAnsi="Arial" w:cs="Arial"/>
          <w:sz w:val="22"/>
          <w:szCs w:val="22"/>
        </w:rPr>
        <w:t xml:space="preserve">of </w:t>
      </w:r>
      <w:r w:rsidR="001B4566" w:rsidRPr="00266592">
        <w:rPr>
          <w:rFonts w:ascii="Arial" w:hAnsi="Arial" w:cs="Arial"/>
          <w:sz w:val="22"/>
          <w:szCs w:val="22"/>
        </w:rPr>
        <w:t>DID resemble the neural substrates underlying common PTSD</w:t>
      </w:r>
      <w:r w:rsidR="00243070" w:rsidRPr="00266592">
        <w:rPr>
          <w:rFonts w:ascii="Arial" w:hAnsi="Arial" w:cs="Arial"/>
          <w:sz w:val="22"/>
          <w:szCs w:val="22"/>
        </w:rPr>
        <w:t>, which is not surprising because all patients met criteria for PTSD, past or current. Unfortunately we were not able to perform a regression analysis with PTSD severity as we did not have CAPS scores for the overall sample.</w:t>
      </w:r>
      <w:r w:rsidR="0031327D">
        <w:rPr>
          <w:rFonts w:ascii="Arial" w:hAnsi="Arial" w:cs="Arial"/>
          <w:sz w:val="22"/>
          <w:szCs w:val="22"/>
        </w:rPr>
        <w:t xml:space="preserve"> </w:t>
      </w:r>
      <w:r w:rsidR="00BE5D95">
        <w:rPr>
          <w:rFonts w:ascii="Arial" w:hAnsi="Arial" w:cs="Arial"/>
          <w:sz w:val="22"/>
          <w:szCs w:val="22"/>
        </w:rPr>
        <w:t>Approximately</w:t>
      </w:r>
      <w:r w:rsidR="00BE5D95" w:rsidRPr="00E4008B">
        <w:rPr>
          <w:rFonts w:ascii="Arial" w:hAnsi="Arial" w:cs="Arial"/>
          <w:sz w:val="22"/>
          <w:szCs w:val="22"/>
        </w:rPr>
        <w:t xml:space="preserve"> half of the</w:t>
      </w:r>
      <w:r w:rsidR="00BE5D95" w:rsidRPr="00966ECF">
        <w:rPr>
          <w:rFonts w:ascii="Arial" w:hAnsi="Arial" w:cs="Arial"/>
          <w:sz w:val="22"/>
          <w:szCs w:val="22"/>
        </w:rPr>
        <w:t xml:space="preserve"> </w:t>
      </w:r>
      <w:r w:rsidR="00BE5D95" w:rsidRPr="00966ECF">
        <w:rPr>
          <w:rFonts w:ascii="Arial" w:eastAsia="Times New Roman" w:hAnsi="Arial" w:cs="Arial"/>
          <w:sz w:val="22"/>
          <w:szCs w:val="22"/>
        </w:rPr>
        <w:t>participants did not report any other comorbid disorders. Depression was the second most reported comorbidity</w:t>
      </w:r>
      <w:r w:rsidR="00BE5D95">
        <w:rPr>
          <w:rFonts w:ascii="Arial" w:eastAsia="Times New Roman" w:hAnsi="Arial" w:cs="Arial"/>
          <w:sz w:val="22"/>
          <w:szCs w:val="22"/>
        </w:rPr>
        <w:t xml:space="preserve"> with</w:t>
      </w:r>
      <w:r w:rsidR="00BE5D95" w:rsidRPr="00966ECF">
        <w:rPr>
          <w:rFonts w:ascii="Arial" w:eastAsia="Times New Roman" w:hAnsi="Arial" w:cs="Arial"/>
          <w:sz w:val="22"/>
          <w:szCs w:val="22"/>
        </w:rPr>
        <w:t xml:space="preserve"> one participant report</w:t>
      </w:r>
      <w:r w:rsidR="00BE5D95">
        <w:rPr>
          <w:rFonts w:ascii="Arial" w:eastAsia="Times New Roman" w:hAnsi="Arial" w:cs="Arial"/>
          <w:sz w:val="22"/>
          <w:szCs w:val="22"/>
        </w:rPr>
        <w:t>ing</w:t>
      </w:r>
      <w:r w:rsidR="00BE5D95" w:rsidRPr="00966ECF">
        <w:rPr>
          <w:rFonts w:ascii="Arial" w:eastAsia="Times New Roman" w:hAnsi="Arial" w:cs="Arial"/>
          <w:sz w:val="22"/>
          <w:szCs w:val="22"/>
        </w:rPr>
        <w:t xml:space="preserve"> chronic depression, </w:t>
      </w:r>
      <w:r w:rsidR="00BE5D95">
        <w:rPr>
          <w:rFonts w:ascii="Arial" w:eastAsia="Times New Roman" w:hAnsi="Arial" w:cs="Arial"/>
          <w:sz w:val="22"/>
          <w:szCs w:val="22"/>
        </w:rPr>
        <w:t>and</w:t>
      </w:r>
      <w:r w:rsidR="00BE5D95" w:rsidRPr="00966ECF">
        <w:rPr>
          <w:rFonts w:ascii="Arial" w:eastAsia="Times New Roman" w:hAnsi="Arial" w:cs="Arial"/>
          <w:sz w:val="22"/>
          <w:szCs w:val="22"/>
        </w:rPr>
        <w:t xml:space="preserve"> 10 </w:t>
      </w:r>
      <w:r w:rsidR="00BE5D95">
        <w:rPr>
          <w:rFonts w:ascii="Arial" w:eastAsia="Times New Roman" w:hAnsi="Arial" w:cs="Arial"/>
          <w:sz w:val="22"/>
          <w:szCs w:val="22"/>
        </w:rPr>
        <w:t xml:space="preserve">participants </w:t>
      </w:r>
      <w:r w:rsidR="00BE5D95" w:rsidRPr="00966ECF">
        <w:rPr>
          <w:rFonts w:ascii="Arial" w:eastAsia="Times New Roman" w:hAnsi="Arial" w:cs="Arial"/>
          <w:sz w:val="22"/>
          <w:szCs w:val="22"/>
        </w:rPr>
        <w:t xml:space="preserve">reported recurrent depression. </w:t>
      </w:r>
      <w:r w:rsidR="00BE5D95">
        <w:rPr>
          <w:rFonts w:ascii="Arial" w:eastAsia="Times New Roman" w:hAnsi="Arial" w:cs="Arial"/>
          <w:sz w:val="22"/>
          <w:szCs w:val="22"/>
        </w:rPr>
        <w:t>There seems to be s</w:t>
      </w:r>
      <w:r w:rsidR="00BE5D95" w:rsidRPr="00966ECF">
        <w:rPr>
          <w:rFonts w:ascii="Arial" w:eastAsia="Times New Roman" w:hAnsi="Arial" w:cs="Arial"/>
          <w:sz w:val="22"/>
          <w:szCs w:val="22"/>
        </w:rPr>
        <w:t xml:space="preserve">ome overlap between our findings and </w:t>
      </w:r>
      <w:r w:rsidR="00BE5D95">
        <w:rPr>
          <w:rFonts w:ascii="Arial" w:eastAsia="Times New Roman" w:hAnsi="Arial" w:cs="Arial"/>
          <w:sz w:val="22"/>
          <w:szCs w:val="22"/>
        </w:rPr>
        <w:t>atypical</w:t>
      </w:r>
      <w:r w:rsidR="00BE5D95" w:rsidRPr="00966ECF">
        <w:rPr>
          <w:rFonts w:ascii="Arial" w:eastAsia="Times New Roman" w:hAnsi="Arial" w:cs="Arial"/>
          <w:sz w:val="22"/>
          <w:szCs w:val="22"/>
        </w:rPr>
        <w:t xml:space="preserve"> cortical</w:t>
      </w:r>
      <w:r w:rsidR="00BE5D95">
        <w:rPr>
          <w:rFonts w:ascii="Arial" w:eastAsia="Times New Roman" w:hAnsi="Arial" w:cs="Arial"/>
          <w:sz w:val="22"/>
          <w:szCs w:val="22"/>
        </w:rPr>
        <w:t xml:space="preserve"> </w:t>
      </w:r>
      <w:r w:rsidR="00BE5D95" w:rsidRPr="00966ECF">
        <w:rPr>
          <w:rFonts w:ascii="Arial" w:eastAsia="Times New Roman" w:hAnsi="Arial" w:cs="Arial"/>
          <w:sz w:val="22"/>
          <w:szCs w:val="22"/>
        </w:rPr>
        <w:t>gray matter in depression seems to be present</w:t>
      </w:r>
      <w:r w:rsidR="00A43B10" w:rsidRPr="008C3C74">
        <w:rPr>
          <w:rFonts w:ascii="Arial" w:eastAsia="Times New Roman" w:hAnsi="Arial" w:cs="Arial"/>
          <w:sz w:val="22"/>
          <w:szCs w:val="22"/>
        </w:rPr>
        <w:fldChar w:fldCharType="begin" w:fldLock="1"/>
      </w:r>
      <w:r w:rsidR="004C670C" w:rsidRPr="008C3C74">
        <w:rPr>
          <w:rFonts w:ascii="Arial" w:eastAsia="Times New Roman" w:hAnsi="Arial" w:cs="Arial"/>
          <w:sz w:val="22"/>
          <w:szCs w:val="22"/>
        </w:rPr>
        <w:instrText>ADDIN CSL_CITATION { "citationItems" : [ { "id" : "ITEM-1", "itemData" : { "DOI" : "10.1038/mp.2016.60", "ISSN" : "1359-4184", "PMID" : "27137745", "abstract" : "The neuro-anatomical substrates of major depressive disorder (MDD) are still not well understood, despite many neuroimaging studies over the past few decades. Here we present the largest ever worldwide study by the ENIGMA (Enhancing Neuro Imaging Genetics through Meta-Analysis) Major Depressive Disorder Working Group on cortical structural alterations in MDD. Structural T1-weighted brain magnetic resonance imaging (MRI) scans from 2148 MDD patients and 7957 healthy controls were analysed with harmonized protocols at 20 sites around the world. To detect consistent effects of MDD and its modulators on cortical thickness and surface area estimates derived from MRI, statistical effects from sites were meta-analysed separately for adults and adolescents. Adults with MDD had thinner cortical gray matter than controls in the orbitofrontal cortex (OFC), anterior and posterior cingulate, insula and temporal lobes (Cohen's d effect sizes: -0.10 to -0.14). These effects were most pronounced in first episode and adult-onset patients (&gt;21 years). Compared to matched controls, adolescents with MDD had lower total surface area (but no differences in cortical thickness) and regional reductions in frontal regions (medial OFC and superior frontal gyrus) and primary and higher-order visual, somatosensory and motor areas (d: -0.26 to -0.57). The strongest effects were found in recurrent adolescent patients. This highly powered global effort to identify consistent brain abnormalities showed widespread cortical alterations in MDD patients as compared to controls and suggests that MDD may impact brain structure in a highly dynamic way, with different patterns of alterations at different stages of life.", "author" : [ { "dropping-particle" : "", "family" : "Schmaal", "given" : "L", "non-dropping-particle" : "", "parse-names" : false, "suffix" : "" }, { "dropping-particle" : "", "family" : "Hibar", "given" : "D P", "non-dropping-particle" : "", "parse-names" : false, "suffix" : "" }, { "dropping-particle" : "", "family" : "S\u00e4mann", "given" : "P G", "non-dropping-particle" : "", "parse-names" : false, "suffix" : "" }, { "dropping-particle" : "", "family" : "Hall", "given" : "G B", "non-dropping-particle" : "", "parse-names" : false, "suffix" : "" }, { "dropping-particle" : "", "family" : "Baune", "given" : "B T", "non-dropping-particle" : "", "parse-names" : false, "suffix" : "" }, { "dropping-particle" : "", "family" : "Jahanshad", "given" : "N", "non-dropping-particle" : "", "parse-names" : false, "suffix" : "" }, { "dropping-particle" : "", "family" : "Cheung", "given" : "J W", "non-dropping-particle" : "", "parse-names" : false, "suffix" : "" }, { "dropping-particle" : "", "family" : "Erp", "given" : "T G M", "non-dropping-particle" : "van", "parse-names" : false, "suffix" : "" }, { "dropping-particle" : "", "family" : "Bos", "given" : "D", "non-dropping-particle" : "", "parse-names" : false, "suffix" : "" }, { "dropping-particle" : "", "family" : "Ikram", "given" : "M A", "non-dropping-particle" : "", "parse-names" : false, "suffix" : "" }, { "dropping-particle" : "", "family" : "Vernooij", "given" : "M W", "non-dropping-particle" : "", "parse-names" : false, "suffix" : "" }, { "dropping-particle" : "", "family" : "Niessen", "given" : "W J", "non-dropping-particle" : "", "parse-names" : false, "suffix" : "" }, { "dropping-particle" : "", "family" : "Tiemeier", "given" : "H", "non-dropping-particle" : "", "parse-names" : false, "suffix" : "" }, { "dropping-particle" : "", "family" : "Hofman", "given" : "A", "non-dropping-particle" : "", "parse-names" : false, "suffix" : "" }, { "dropping-particle" : "", "family" : "Wittfeld", "given" : "K", "non-dropping-particle" : "", "parse-names" : false, "suffix" : "" }, { "dropping-particle" : "", "family" : "Grabe", "given" : "H J", "non-dropping-particle" : "", "parse-names" : false, "suffix" : "" }, { "dropping-particle" : "", "family" : "Janowitz", "given" : "D", "non-dropping-particle" : "", "parse-names" : false, "suffix" : "" }, { "dropping-particle" : "", "family" : "B\u00fclow", "given" : "R", "non-dropping-particle" : "", "parse-names" : false, "suffix" : "" }, { "dropping-particle" : "", "family" : "Selonke", "given" : "M", "non-dropping-particle" : "", "parse-names" : false, "suffix" : "" }, { "dropping-particle" : "", "family" : "V\u00f6lzke", "given" : "H", "non-dropping-particle" : "", "parse-names" : false, "suffix" : "" }, { "dropping-particle" : "", "family" : "Grotegerd", "given" : "D", "non-dropping-particle" : "", "parse-names" : false, "suffix" : "" }, { "dropping-particle" : "", "family" : "Dannlowski", "given" : "U", "non-dropping-particle" : "", "parse-names" : false, "suffix" : "" }, { "dropping-particle" : "", "family" : "Arolt", "given" : "V", "non-dropping-particle" : "", "parse-names" : false, "suffix" : "" }, { "dropping-particle" : "", "family" : "Opel", "given" : "N", "non-dropping-particle" : "", "parse-names" : false, "suffix" : "" }, { "dropping-particle" : "", "family" : "Heindel", "given" : "W", "non-dropping-particle" : "", "parse-names" : false, "suffix" : "" }, { "dropping-particle" : "", "family" : "Kugel", "given" : "H", "non-dropping-particle" : "", "parse-names" : false, "suffix" : "" }, { "dropping-particle" : "", "family" : "Hoehn", "given" : "D", "non-dropping-particle" : "", "parse-names" : false, "suffix" : "" }, { "dropping-particle" : "", "family" : "Czisch", "given" : "M", "non-dropping-particle" : "", "parse-names" : false, "suffix" : "" }, { "dropping-particle" : "", "family" : "Couvy-Duchesne", "given" : "B", "non-dropping-particle" : "", "parse-names" : false, "suffix" : "" }, { "dropping-particle" : "", "family" : "Renter\u00eda", "given" : "M E", "non-dropping-particle" : "", "parse-names" : false, "suffix" : "" }, { "dropping-particle" : "", "family" : "Strike", "given" : "L T", "non-dropping-particle" : "", "parse-names" : false, "suffix" : "" }, { "dropping-particle" : "", "family" : "Wright", "given" : "M J", "non-dropping-particle" : "", "parse-names" : false, "suffix" : "" }, { "dropping-particle" : "", "family" : "Mills", "given" : "N T", "non-dropping-particle" : "", "parse-names" : false, "suffix" : "" }, { "dropping-particle" : "", "family" : "Zubicaray", "given" : "G I", "non-dropping-particle" : "de", "parse-names" : false, "suffix" : "" }, { "dropping-particle" : "", "family" : "McMahon", "given" : "K L", "non-dropping-particle" : "", "parse-names" : false, "suffix" : "" }, { "dropping-particle" : "", "family" : "Medland", "given" : "S E", "non-dropping-particle" : "", "parse-names" : false, "suffix" : "" }, { "dropping-particle" : "", "family" : "Martin", "given" : "N G", "non-dropping-particle" : "", "parse-names" : false, "suffix" : "" }, { "dropping-particle" : "", "family" : "Gillespie", "given" : "N A", "non-dropping-particle" : "", "parse-names" : false, "suffix" : "" }, { "dropping-particle" : "", "family" : "Goya-Maldonado", "given" : "R", "non-dropping-particle" : "", "parse-names" : false, "suffix" : "" }, { "dropping-particle" : "", "family" : "Gruber", "given" : "O", "non-dropping-particle" : "", "parse-names" : false, "suffix" : "" }, { "dropping-particle" : "", "family" : "Kr\u00e4mer", "given" : "B", "non-dropping-particle" : "", "parse-names" : false, "suffix" : "" }, { "dropping-particle" : "", "family" : "Hatton", "given" : "S N", "non-dropping-particle" : "", "parse-names" : false, "suffix" : "" }, { "dropping-particle" : "", "family" : "Lagopoulos", "given" : "J", "non-dropping-particle" : "", "parse-names" : false, "suffix" : "" }, { "dropping-particle" : "", "family" : "Hickie", "given" : "I B", "non-dropping-particle" : "", "parse-names" : false, "suffix" : "" }, { "dropping-particle" : "", "family" : "Frodl", "given" : "T", "non-dropping-particle" : "", "parse-names" : false, "suffix" : "" }, { "dropping-particle" : "", "family" : "Carballedo", "given" : "A", "non-dropping-particle" : "", "parse-names" : false, "suffix" : "" }, { "dropping-particle" : "", "family" : "Frey", "given" : "E M", "non-dropping-particle" : "", "parse-names" : false, "suffix" : "" }, { "dropping-particle" : "", "family" : "Velzen", "given" : "L S", "non-dropping-particle" : "van", "parse-names" : false, "suffix" : "" }, { "dropping-particle" : "", "family" : "Penninx", "given" : "B W J H", "non-dropping-particle" : "", "parse-names" : false, "suffix" : "" }, { "dropping-particle" : "", "family" : "Tol", "given" : "M-J", "non-dropping-particle" : "van", "parse-names" : false, "suffix" : "" }, { "dropping-particle" : "", "family" : "Wee", "given" : "N J", "non-dropping-particle" : "van der", "parse-names" : false, "suffix" : "" }, { "dropping-particle" : "", "family" : "Davey", "given" : "C G", "non-dropping-particle" : "", "parse-names" : false, "suffix" : "" }, { "dropping-particle" : "", "family" : "Harrison", "given" : "B J", "non-dropping-particle" : "", "parse-names" : false, "suffix" : "" }, { "dropping-particle" : "", "family" : "Mwangi", "given" : "B", "non-dropping-particle" : "", "parse-names" : false, "suffix" : "" }, { "dropping-particle" : "", "family" : "Cao", "given" : "B", "non-dropping-particle" : "", "parse-names" : false, "suffix" : "" }, { "dropping-particle" : "", "family" : "Soares", "given" : "J C", "non-dropping-particle" : "", "parse-names" : false, "suffix" : "" }, { "dropping-particle" : "", "family" : "Veer", "given" : "I M", "non-dropping-particle" : "", "parse-names" : false, "suffix" : "" }, { "dropping-particle" : "", "family" : "Walter", "given" : "H", "non-dropping-particle" : "", "parse-names" : false, "suffix" : "" }, { "dropping-particle" : "", "family" : "Schoepf", "given" : "D", "non-dropping-particle" : "", "parse-names" : false, "suffix" : "" }, { "dropping-particle" : "", "family" : "Zurowski", "given" : "B", "non-dropping-particle" : "", "parse-names" : false, "suffix" : "" }, { "dropping-particle" : "", "family" : "Konrad", "given" : "C", "non-dropping-particle" : "", "parse-names" : false, "suffix" : "" }, { "dropping-particle" : "", "family" : "Schramm", "given" : "E", "non-dropping-particle" : "", "parse-names" : false, "suffix" : "" }, { "dropping-particle" : "", "family" : "Normann", "given" : "C", "non-dropping-particle" : "", "parse-names" : false, "suffix" : "" }, { "dropping-particle" : "", "family" : "Schnell", "given" : "K", "non-dropping-particle" : "", "parse-names" : false, "suffix" : "" }, { "dropping-particle" : "", "family" : "Sacchet", "given" : "M D", "non-dropping-particle" : "", "parse-names" : false, "suffix" : "" }, { "dropping-particle" : "", "family" : "Gotlib", "given" : "I H", "non-dropping-particle" : "", "parse-names" : false, "suffix" : "" }, { "dropping-particle" : "", "family" : "MacQueen", "given" : "G M", "non-dropping-particle" : "", "parse-names" : false, "suffix" : "" }, { "dropping-particle" : "", "family" : "Godlewska", "given" : "B R", "non-dropping-particle" : "", "parse-names" : false, "suffix" : "" }, { "dropping-particle" : "", "family" : "Nickson", "given" : "T", "non-dropping-particle" : "", "parse-names" : false, "suffix" : "" }, { "dropping-particle" : "", "family" : "McIntosh", "given" : "A M", "non-dropping-particle" : "", "parse-names" : false, "suffix" : "" }, { "dropping-particle" : "", "family" : "Papmeyer", "given" : "M", "non-dropping-particle" : "", "parse-names" : false, "suffix" : "" }, { "dropping-particle" : "", "family" : "Whalley", "given" : "H C", "non-dropping-particle" : "", "parse-names" : false, "suffix" : "" }, { "dropping-particle" : "", "family" : "Hall", "given" : "J", "non-dropping-particle" : "", "parse-names" : false, "suffix" : "" }, { "dropping-particle" : "", "family" : "Sussmann", "given" : "J E", "non-dropping-particle" : "", "parse-names" : false, "suffix" : "" }, { "dropping-particle" : "", "family" : "Li", "given" : "M", "non-dropping-particle" : "", "parse-names" : false, "suffix" : "" }, { "dropping-particle" : "", "family" : "Walter", "given" : "M", "non-dropping-particle" : "", "parse-names" : false, "suffix" : "" }, { "dropping-particle" : "", "family" : "Aftanas", "given" : "L", "non-dropping-particle" : "", "parse-names" : false, "suffix" : "" }, { "dropping-particle" : "", "family" : "Brack", "given" : "I", "non-dropping-particle" : "", "parse-names" : false, "suffix" : "" }, { "dropping-particle" : "", "family" : "Bokhan", "given" : "N A", "non-dropping-particle" : "", "parse-names" : false, "suffix" : "" }, { "dropping-particle" : "", "family" : "Thompson", "given" : "P M", "non-dropping-particle" : "", "parse-names" : false, "suffix" : "" }, { "dropping-particle" : "", "family" : "Veltman", "given" : "D J", "non-dropping-particle" : "", "parse-names" : false, "suffix" : "" } ], "container-title" : "Molecular Psychiatry", "id" : "ITEM-1", "issue" : "6", "issued" : { "date-parts" : [ [ "2017", "6", "3" ] ] }, "page" : "900-909", "title" : "Cortical abnormalities in adults and adolescents with major depression based on brain scans from 20 cohorts worldwide in the ENIGMA Major Depressive Disorder Working Group", "type" : "article-journal", "volume" : "22" }, "uris" : [ "http://www.mendeley.com/documents/?uuid=111e9819-544c-35b8-bcc1-3f66c822241d" ] } ], "mendeley" : { "formattedCitation" : "(54)", "plainTextFormattedCitation" : "(54)", "previouslyFormattedCitation" : "(54)" }, "properties" : { "noteIndex" : 0 }, "schema" : "https://github.com/citation-style-language/schema/raw/master/csl-citation.json" }</w:instrText>
      </w:r>
      <w:r w:rsidR="00A43B10" w:rsidRPr="008C3C74">
        <w:rPr>
          <w:rFonts w:ascii="Arial" w:eastAsia="Times New Roman" w:hAnsi="Arial" w:cs="Arial"/>
          <w:sz w:val="22"/>
          <w:szCs w:val="22"/>
        </w:rPr>
        <w:fldChar w:fldCharType="separate"/>
      </w:r>
      <w:r w:rsidR="00A43B10" w:rsidRPr="007C77EE">
        <w:rPr>
          <w:rFonts w:ascii="Arial" w:eastAsia="Times New Roman" w:hAnsi="Arial" w:cs="Arial"/>
          <w:noProof/>
          <w:sz w:val="22"/>
          <w:szCs w:val="22"/>
        </w:rPr>
        <w:t>(54)</w:t>
      </w:r>
      <w:r w:rsidR="00A43B10" w:rsidRPr="008C3C74">
        <w:rPr>
          <w:rFonts w:ascii="Arial" w:eastAsia="Times New Roman" w:hAnsi="Arial" w:cs="Arial"/>
          <w:sz w:val="22"/>
          <w:szCs w:val="22"/>
        </w:rPr>
        <w:fldChar w:fldCharType="end"/>
      </w:r>
      <w:r w:rsidR="007C77EE" w:rsidRPr="008C3C74">
        <w:rPr>
          <w:rFonts w:ascii="Arial" w:eastAsia="Times New Roman" w:hAnsi="Arial" w:cs="Arial"/>
          <w:sz w:val="22"/>
          <w:szCs w:val="22"/>
        </w:rPr>
        <w:t xml:space="preserve">, </w:t>
      </w:r>
      <w:r w:rsidR="00BE5D95">
        <w:rPr>
          <w:rFonts w:ascii="Arial" w:eastAsia="Times New Roman" w:hAnsi="Arial" w:cs="Arial"/>
          <w:sz w:val="22"/>
          <w:szCs w:val="22"/>
        </w:rPr>
        <w:t>and future studies are therefore required to establish whether – and to what degree - if</w:t>
      </w:r>
      <w:r w:rsidR="00BE5D95" w:rsidRPr="00966ECF">
        <w:rPr>
          <w:rFonts w:ascii="Arial" w:eastAsia="Times New Roman" w:hAnsi="Arial" w:cs="Arial"/>
          <w:sz w:val="22"/>
          <w:szCs w:val="22"/>
        </w:rPr>
        <w:t xml:space="preserve"> dissociative symptoms contribute to findings in studies including depressed participants</w:t>
      </w:r>
      <w:r w:rsidR="00BE5D95">
        <w:rPr>
          <w:rFonts w:ascii="Arial" w:eastAsia="Times New Roman" w:hAnsi="Arial" w:cs="Arial"/>
          <w:sz w:val="22"/>
          <w:szCs w:val="22"/>
        </w:rPr>
        <w:t xml:space="preserve"> and vice versa</w:t>
      </w:r>
      <w:r w:rsidR="00BE5D95" w:rsidRPr="00966ECF">
        <w:rPr>
          <w:rFonts w:ascii="Arial" w:eastAsia="Times New Roman" w:hAnsi="Arial" w:cs="Arial"/>
          <w:sz w:val="22"/>
          <w:szCs w:val="22"/>
        </w:rPr>
        <w:t>.</w:t>
      </w:r>
      <w:r w:rsidR="00BE5D95">
        <w:rPr>
          <w:rFonts w:ascii="Arial" w:eastAsia="Times New Roman" w:hAnsi="Arial" w:cs="Arial"/>
          <w:sz w:val="22"/>
          <w:szCs w:val="22"/>
        </w:rPr>
        <w:t xml:space="preserve"> </w:t>
      </w:r>
      <w:r w:rsidR="00BE5D95" w:rsidRPr="00966ECF">
        <w:rPr>
          <w:rFonts w:ascii="Arial" w:eastAsia="Times New Roman" w:hAnsi="Arial" w:cs="Arial"/>
          <w:sz w:val="22"/>
          <w:szCs w:val="22"/>
        </w:rPr>
        <w:t xml:space="preserve">Dissociative symptoms are </w:t>
      </w:r>
      <w:r w:rsidR="00BE5D95">
        <w:rPr>
          <w:rFonts w:ascii="Arial" w:eastAsia="Times New Roman" w:hAnsi="Arial" w:cs="Arial"/>
          <w:sz w:val="22"/>
          <w:szCs w:val="22"/>
        </w:rPr>
        <w:t xml:space="preserve">also </w:t>
      </w:r>
      <w:r w:rsidR="00BE5D95" w:rsidRPr="00966ECF">
        <w:rPr>
          <w:rFonts w:ascii="Arial" w:eastAsia="Times New Roman" w:hAnsi="Arial" w:cs="Arial"/>
          <w:sz w:val="22"/>
          <w:szCs w:val="22"/>
        </w:rPr>
        <w:t>present in other psychiatric disorders, such as depression</w:t>
      </w:r>
      <w:r w:rsidR="004C670C" w:rsidRPr="008C3C74">
        <w:rPr>
          <w:rFonts w:ascii="Arial" w:eastAsia="Times New Roman" w:hAnsi="Arial" w:cs="Arial"/>
          <w:sz w:val="22"/>
          <w:szCs w:val="22"/>
        </w:rPr>
        <w:fldChar w:fldCharType="begin" w:fldLock="1"/>
      </w:r>
      <w:r w:rsidR="007C77EE" w:rsidRPr="008C3C74">
        <w:rPr>
          <w:rFonts w:ascii="Arial" w:eastAsia="Times New Roman" w:hAnsi="Arial" w:cs="Arial"/>
          <w:sz w:val="22"/>
          <w:szCs w:val="22"/>
        </w:rPr>
        <w:instrText>ADDIN CSL_CITATION { "citationItems" : [ { "id" : "ITEM-1", "itemData" : { "DOI" : "10.1016/j.neuropsychologia.2017.07.004", "ISSN" : "00283932", "PMID" : "28697998", "abstract" : "Alterations in autobiographical memory (AM) performance have been identified in major depressive disorder (MDD) and in trauma-related disorders, however, the neural and behavioural correlates of AM retrieval in patients with MDD and a co-morbid history of trauma remain unexplored. Here, we used behavioural and neuroimaging techniques to investigate AM in this patient group and in matched healthy comparison subjects (HCs). Twenty patients with MDD and trauma exposure and 20 HCs underwent fMRI scanning while recalling positive, negative, and neutral events. Participants were subsequently administered the Autobiographical Interview (Levine et al., 2002), allowing for separation of episodic and non-episodic details of memories. Key clinical variables, including illness severity, dissociative (e.g., depersonalization, derealization) symptoms, and history of parental bonding, were assessed. Compared to controls, patients showed reduced activation in the left parahippocampus and left anterior insula during retrieval of positive memories. Among patients, greater specificity of positive AM recall on the Autobiographical Interview was related to reduced activation of the left anterior insula during retrieval of positive memories. Moreover, increased left parahippocampal activation during negative memory recall was related to heightened levels of paternal care among the patient group. Taken together, these findings point towards potential alterations in key neural processes (e.g., episodic vividness and embodiment) associated with AM retrieval among MDD patients with a history of co-morbid trauma exposure. These alterations appear unrelated to illness severity, but instead are associated with parental bonding.", "author" : [ { "dropping-particle" : "", "family" : "Parlar", "given" : "Melissa", "non-dropping-particle" : "", "parse-names" : false, "suffix" : "" }, { "dropping-particle" : "", "family" : "Densmore", "given" : "Maria", "non-dropping-particle" : "", "parse-names" : false, "suffix" : "" }, { "dropping-particle" : "", "family" : "Hall", "given" : "Geoffrey B.C.", "non-dropping-particle" : "", "parse-names" : false, "suffix" : "" }, { "dropping-particle" : "", "family" : "Lanius", "given" : "Ruth", "non-dropping-particle" : "", "parse-names" : false, "suffix" : "" }, { "dropping-particle" : "", "family" : "McKinnon", "given" : "Margaret C.", "non-dropping-particle" : "", "parse-names" : false, "suffix" : "" } ], "container-title" : "Neuropsychologia", "id" : "ITEM-1", "issued" : { "date-parts" : [ [ "2017", "7", "8" ] ] }, "title" : "Neural and behavioural correlates of autobiographical memory retrieval in patients with major depressive disorder and a history of trauma exposure", "type" : "article-journal" }, "uris" : [ "http://www.mendeley.com/documents/?uuid=ffe965c8-cd60-34b3-9945-6f3acf7d9d43" ] }, { "id" : "ITEM-2", "itemData" : { "DOI" : "10.1007/s00127-014-0819-y", "ISBN" : "0012701408", "ISSN" : "1433-9285", "PMID" : "24445579", "abstract" : "PURPOSE: A dissociative-posttraumatic stress disorder (PTSD) subtype has been included in the DSM-5. However, it is not yet clear whether certain socio-demographic characteristics or psychological/clinical constructs such as comorbid psychopathology differentiate between severe PTSD and dissociative-PTSD. The current study investigated the existence of a dissociative-PTSD subtype and explored whether a number of trauma and clinical covariates could differentiate between severe PTSD alone and dissociative-PTSD.\n\nMETHODS: The current study utilized a sample of 432 treatment seeking Canadian military veterans. Participants were assessed with the Clinician Administered PTSD Scale (CAPS) and self-report measures of traumatic life events, depression, and anxiety. CAPS severity scores were created reflecting the sum of the frequency and intensity items from each of the 17 PTSD and 3 dissociation items. The CAPS severity scores were used as indicators in a latent profile analysis (LPA) to investigate the existence of a dissociative-PTSD subtype. Subsequently, several covariates were added to the model to explore differences between severe PTSD alone and dissociative-PTSD.\n\nRESULTS: The LPA identified five classes: one of which constituted a severe PTSD group (30.5\u00a0%), and one of which constituted a dissociative-PTSD group (13.7\u00a0%). None of the included, demographic, trauma, or clinical covariates were significantly predictive of membership in the dissociative-PTSD group compared to the severe PTSD group.\n\nCONCLUSIONS: In conclusion, a significant proportion of individuals report high levels of dissociation alongside their PTSD, which constitutes a dissociative-PTSD subtype. Further investigation is needed to identify which factors may increase or decrease the likelihood of membership in a dissociative-PTSD subtype group compared to a severe PTSD only group.", "author" : [ { "dropping-particle" : "", "family" : "Armour", "given" : "Cherie", "non-dropping-particle" : "", "parse-names" : false, "suffix" : "" }, { "dropping-particle" : "", "family" : "Karstoft", "given" : "Karen-Inge", "non-dropping-particle" : "", "parse-names" : false, "suffix" : "" }, { "dropping-particle" : "", "family" : "Richardson", "given" : "J Don", "non-dropping-particle" : "", "parse-names" : false, "suffix" : "" } ], "container-title" : "Social psychiatry and psychiatric epidemiology", "id" : "ITEM-2", "issue" : "8", "issued" : { "date-parts" : [ [ "2014", "8" ] ] }, "page" : "1297-306", "title" : "The co-occurrence of PTSD and dissociation: differentiating severe PTSD from dissociative-PTSD.", "type" : "article-journal", "volume" : "49" }, "uris" : [ "http://www.mendeley.com/documents/?uuid=67deb20c-fc35-47b2-ba16-85229504d37b" ] }, { "id" : "ITEM-3", "itemData" : { "DOI" : "10.1080/15299732.2012.753654", "ISSN" : "1529-9740", "PMID" : "23796173", "abstract" : "This study screened the prevalence and correlates of dissociative disorders among depressive women in the general population. The Dissociative Disorders Interview Schedule and the posttraumatic stress disorder (PTSD) and borderline personality disorder sections of the Structured Clinical Interview for DSM-IV were administered to 628 women in 500 homes. The prevalence of current major depressive episode was 10.0%. Of the women, 26 (40.6%) had the lifetime diagnosis of a DSM-IV, dissociative disorder, yielding a prevalence of 4.1% for dissociative depression. This group was younger (mean age = 30.7 years) than the nondissociative depression women (mean age = 39.6 years). There was no difference between the 2 groups on comorbid somatization disorder, PTSD, or borderline personality disorder. Besides suicide attempts, the dissociative group was characterized by secondary features of dissociative identity disorder; Schneiderian symptoms; borderline personality disorder criteria; and extrasensory perceptions, including possession experiences. They reported suicidality, thoughts of guilt and worthlessness, diminished concentration and indecisiveness, and appetite and weight changes more frequently than the nondissociative group. Early cessation of school education and childhood sexual abuse were frequently reported by the dissociative depression group. With its distinct features, the concept of dissociative depression may facilitate understanding of treatment resistance in, development of better psychotherapy strategies for, and new thinking on the neurobiology and pharmacotherapy of depressive disorders.", "author" : [ { "dropping-particle" : "", "family" : "Sar", "given" : "Vedat", "non-dropping-particle" : "", "parse-names" : false, "suffix" : "" }, { "dropping-particle" : "", "family" : "Aky\u00fcz", "given" : "Gamze", "non-dropping-particle" : "", "parse-names" : false, "suffix" : "" }, { "dropping-particle" : "", "family" : "Ozt\u00fcrk", "given" : "Erdin\u00e7", "non-dropping-particle" : "", "parse-names" : false, "suffix" : "" }, { "dropping-particle" : "", "family" : "Alio\u011flu", "given" : "Firdevs", "non-dropping-particle" : "", "parse-names" : false, "suffix" : "" } ], "container-title" : "Journal of trauma &amp; dissociation : the official journal of the International Society for the Study of Dissociation (ISSD)", "id" : "ITEM-3", "issue" : "4", "issued" : { "date-parts" : [ [ "2013", "1" ] ] }, "page" : "423-38", "title" : "Dissociative depression among women in the community.", "type" : "article-journal", "volume" : "14" }, "uris" : [ "http://www.mendeley.com/documents/?uuid=098d1cc0-ca9f-4180-87af-0d4f32d0dbe6" ] } ], "mendeley" : { "formattedCitation" : "(55\u201357)", "plainTextFormattedCitation" : "(55\u201357)", "previouslyFormattedCitation" : "(55\u201357)" }, "properties" : { "noteIndex" : 0 }, "schema" : "https://github.com/citation-style-language/schema/raw/master/csl-citation.json" }</w:instrText>
      </w:r>
      <w:r w:rsidR="004C670C" w:rsidRPr="008C3C74">
        <w:rPr>
          <w:rFonts w:ascii="Arial" w:eastAsia="Times New Roman" w:hAnsi="Arial" w:cs="Arial"/>
          <w:sz w:val="22"/>
          <w:szCs w:val="22"/>
        </w:rPr>
        <w:fldChar w:fldCharType="separate"/>
      </w:r>
      <w:r w:rsidR="004C670C" w:rsidRPr="007C77EE">
        <w:rPr>
          <w:rFonts w:ascii="Arial" w:eastAsia="Times New Roman" w:hAnsi="Arial" w:cs="Arial"/>
          <w:noProof/>
          <w:sz w:val="22"/>
          <w:szCs w:val="22"/>
        </w:rPr>
        <w:t>(55–57)</w:t>
      </w:r>
      <w:r w:rsidR="004C670C" w:rsidRPr="008C3C74">
        <w:rPr>
          <w:rFonts w:ascii="Arial" w:eastAsia="Times New Roman" w:hAnsi="Arial" w:cs="Arial"/>
          <w:sz w:val="22"/>
          <w:szCs w:val="22"/>
        </w:rPr>
        <w:fldChar w:fldCharType="end"/>
      </w:r>
      <w:r w:rsidR="0031327D" w:rsidRPr="008C3C74">
        <w:rPr>
          <w:rFonts w:ascii="Arial" w:eastAsia="Times New Roman" w:hAnsi="Arial" w:cs="Arial"/>
          <w:sz w:val="22"/>
          <w:szCs w:val="22"/>
        </w:rPr>
        <w:t>, borderline personality disorder</w:t>
      </w:r>
      <w:r w:rsidR="007C77EE" w:rsidRPr="008C3C74">
        <w:rPr>
          <w:rFonts w:ascii="Arial" w:eastAsia="Times New Roman" w:hAnsi="Arial" w:cs="Arial"/>
          <w:sz w:val="22"/>
          <w:szCs w:val="22"/>
        </w:rPr>
        <w:fldChar w:fldCharType="begin" w:fldLock="1"/>
      </w:r>
      <w:r w:rsidR="007C77EE" w:rsidRPr="008C3C74">
        <w:rPr>
          <w:rFonts w:ascii="Arial" w:eastAsia="Times New Roman" w:hAnsi="Arial" w:cs="Arial"/>
          <w:sz w:val="22"/>
          <w:szCs w:val="22"/>
        </w:rPr>
        <w:instrText>ADDIN CSL_CITATION { "citationItems" : [ { "id" : "ITEM-1", "itemData" : { "DOI" : "10.1007/s11920-013-0434-8", "ISSN" : "1535-1645", "PMID" : "24442670", "abstract" : "Psychological trauma can have devastating consequences on emotion regulatory capacities and lead to dissociative processes that provide subjective detachment from overwhelming emotional experience during and in the aftermath of trauma. Dissociation is a complex phenomenon that comprises a host of symptoms and factors, including depersonalization, derealization, time distortion, dissociative flashbacks, and alterations in the perception of the self. Dissociation occurs in up to two thirds of patients with borderline personality disorder (BPD). The neurobiology of traumatic dissociation has demonstrated a heterogeneity in posttraumatic stress symptoms that, over time, can result in different types of dysregulated emotional states. This review links the concepts of trauma and dissociation to BPD by illustrating different forms of emotional dysregulation and their clinical relevance to patients with BPD.", "author" : [ { "dropping-particle" : "", "family" : "Vermetten", "given" : "Eric", "non-dropping-particle" : "", "parse-names" : false, "suffix" : "" }, { "dropping-particle" : "", "family" : "Spiegel", "given" : "David", "non-dropping-particle" : "", "parse-names" : false, "suffix" : "" } ], "container-title" : "Current psychiatry reports", "id" : "ITEM-1", "issue" : "2", "issued" : { "date-parts" : [ [ "2014", "2" ] ] }, "page" : "434", "title" : "Trauma and dissociation: implications for borderline personality disorder.", "type" : "article-journal", "volume" : "16" }, "uris" : [ "http://www.mendeley.com/documents/?uuid=da69eba3-76d5-43da-8cd4-2870bc31ce03" ] } ], "mendeley" : { "formattedCitation" : "(58)", "plainTextFormattedCitation" : "(58)", "previouslyFormattedCitation" : "(58)" }, "properties" : { "noteIndex" : 0 }, "schema" : "https://github.com/citation-style-language/schema/raw/master/csl-citation.json" }</w:instrText>
      </w:r>
      <w:r w:rsidR="007C77EE" w:rsidRPr="008C3C74">
        <w:rPr>
          <w:rFonts w:ascii="Arial" w:eastAsia="Times New Roman" w:hAnsi="Arial" w:cs="Arial"/>
          <w:sz w:val="22"/>
          <w:szCs w:val="22"/>
        </w:rPr>
        <w:fldChar w:fldCharType="separate"/>
      </w:r>
      <w:r w:rsidR="007C77EE" w:rsidRPr="007C77EE">
        <w:rPr>
          <w:rFonts w:ascii="Arial" w:eastAsia="Times New Roman" w:hAnsi="Arial" w:cs="Arial"/>
          <w:noProof/>
          <w:sz w:val="22"/>
          <w:szCs w:val="22"/>
        </w:rPr>
        <w:t>(58)</w:t>
      </w:r>
      <w:r w:rsidR="007C77EE" w:rsidRPr="008C3C74">
        <w:rPr>
          <w:rFonts w:ascii="Arial" w:eastAsia="Times New Roman" w:hAnsi="Arial" w:cs="Arial"/>
          <w:sz w:val="22"/>
          <w:szCs w:val="22"/>
        </w:rPr>
        <w:fldChar w:fldCharType="end"/>
      </w:r>
      <w:r w:rsidR="0031327D" w:rsidRPr="008C3C74">
        <w:rPr>
          <w:rFonts w:ascii="Arial" w:eastAsia="Times New Roman" w:hAnsi="Arial" w:cs="Arial"/>
          <w:sz w:val="22"/>
          <w:szCs w:val="22"/>
        </w:rPr>
        <w:t>, and PTSD</w:t>
      </w:r>
      <w:r w:rsidR="007C77EE" w:rsidRPr="008C3C74">
        <w:rPr>
          <w:rFonts w:ascii="Arial" w:eastAsia="Times New Roman" w:hAnsi="Arial" w:cs="Arial"/>
          <w:sz w:val="22"/>
          <w:szCs w:val="22"/>
        </w:rPr>
        <w:fldChar w:fldCharType="begin" w:fldLock="1"/>
      </w:r>
      <w:r w:rsidR="00B57895">
        <w:rPr>
          <w:rFonts w:ascii="Arial" w:eastAsia="Times New Roman" w:hAnsi="Arial" w:cs="Arial"/>
          <w:sz w:val="22"/>
          <w:szCs w:val="22"/>
        </w:rPr>
        <w:instrText>ADDIN CSL_CITATION { "citationItems" : [ { "id" : "ITEM-1", "itemData" : { "DOI" : "10.1176/appi.ajp.2009.09081168", "ISSN" : "1535-7228", "PMID" : "20360318", "abstract" : "In this article, the authors present evidence regarding a dissociative subtype of PTSD, with clinical and neurobiological features that can be distinguished from nondissociative PTSD. The dissociative subtype is characterized by overmodulation of affect, while the more common undermodulated type involves the predominance of reexperiencing and hyperarousal symptoms. This article focuses on the neural manifestations of the dissociative subtype in PTSD and compares it to those underlying the reexperiencing/hyperaroused subtype. A model that includes these two types of emotion dysregulation in PTSD is described. In this model, reexperiencing/hyperarousal reactivity is viewed as a form of emotion dysregulation that involves emotional undermodulation, mediated by failure of prefrontal inhibition of limbic regions. In contrast, the dissociative subtype of PTSD is described as a form of emotion dysregulation that involves emotional overmodulation mediated by midline prefrontal inhibition of the same limbic regions. Both types of modulation are involved in a dynamic interplay and lead to alternating symptom profiles in PTSD. These findings have important implications for treatment of PTSD, including the need to assess patients with PTSD for dissociative symptoms and to incorporate the treatment of dissociative symptoms into stage-oriented trauma treatment.", "author" : [ { "dropping-particle" : "", "family" : "Lanius", "given" : "Ruth A", "non-dropping-particle" : "", "parse-names" : false, "suffix" : "" }, { "dropping-particle" : "", "family" : "Vermetten", "given" : "Eric", "non-dropping-particle" : "", "parse-names" : false, "suffix" : "" }, { "dropping-particle" : "", "family" : "Loewenstein", "given" : "Richard J", "non-dropping-particle" : "", "parse-names" : false, "suffix" : "" }, { "dropping-particle" : "", "family" : "Brand", "given" : "Bethany", "non-dropping-particle" : "", "parse-names" : false, "suffix" : "" }, { "dropping-particle" : "", "family" : "Schmahl", "given" : "Christian", "non-dropping-particle" : "", "parse-names" : false, "suffix" : "" }, { "dropping-particle" : "", "family" : "Bremner", "given" : "J Douglas", "non-dropping-particle" : "", "parse-names" : false, "suffix" : "" }, { "dropping-particle" : "", "family" : "Spiegel", "given" : "David", "non-dropping-particle" : "", "parse-names" : false, "suffix" : "" } ], "container-title" : "The American journal of psychiatry", "id" : "ITEM-1", "issue" : "6", "issued" : { "date-parts" : [ [ "2010", "6" ] ] }, "page" : "640-7", "title" : "Emotion modulation in PTSD: Clinical and neurobiological evidence for a dissociative subtype.", "type" : "article-journal", "volume" : "167" }, "uris" : [ "http://www.mendeley.com/documents/?uuid=8b3c7103-4e51-46f0-8863-7087c928bf2d" ] } ], "mendeley" : { "formattedCitation" : "(53)", "plainTextFormattedCitation" : "(53)", "previouslyFormattedCitation" : "(53)" }, "properties" : { "noteIndex" : 0 }, "schema" : "https://github.com/citation-style-language/schema/raw/master/csl-citation.json" }</w:instrText>
      </w:r>
      <w:r w:rsidR="007C77EE" w:rsidRPr="008C3C74">
        <w:rPr>
          <w:rFonts w:ascii="Arial" w:eastAsia="Times New Roman" w:hAnsi="Arial" w:cs="Arial"/>
          <w:sz w:val="22"/>
          <w:szCs w:val="22"/>
        </w:rPr>
        <w:fldChar w:fldCharType="separate"/>
      </w:r>
      <w:r w:rsidR="007C77EE" w:rsidRPr="007C77EE">
        <w:rPr>
          <w:rFonts w:ascii="Arial" w:eastAsia="Times New Roman" w:hAnsi="Arial" w:cs="Arial"/>
          <w:noProof/>
          <w:sz w:val="22"/>
          <w:szCs w:val="22"/>
        </w:rPr>
        <w:t>(53)</w:t>
      </w:r>
      <w:r w:rsidR="007C77EE" w:rsidRPr="008C3C74">
        <w:rPr>
          <w:rFonts w:ascii="Arial" w:eastAsia="Times New Roman" w:hAnsi="Arial" w:cs="Arial"/>
          <w:sz w:val="22"/>
          <w:szCs w:val="22"/>
        </w:rPr>
        <w:fldChar w:fldCharType="end"/>
      </w:r>
      <w:r w:rsidR="00BE5D95" w:rsidRPr="00966ECF">
        <w:rPr>
          <w:rFonts w:ascii="Arial" w:eastAsia="Times New Roman" w:hAnsi="Arial" w:cs="Arial"/>
          <w:sz w:val="22"/>
          <w:szCs w:val="22"/>
        </w:rPr>
        <w:t xml:space="preserve">. We </w:t>
      </w:r>
      <w:r w:rsidR="00BE5D95">
        <w:rPr>
          <w:rFonts w:ascii="Arial" w:eastAsia="Times New Roman" w:hAnsi="Arial" w:cs="Arial"/>
          <w:sz w:val="22"/>
          <w:szCs w:val="22"/>
        </w:rPr>
        <w:t xml:space="preserve">thus </w:t>
      </w:r>
      <w:r w:rsidR="00BE5D95" w:rsidRPr="00966ECF">
        <w:rPr>
          <w:rFonts w:ascii="Arial" w:eastAsia="Times New Roman" w:hAnsi="Arial" w:cs="Arial"/>
          <w:sz w:val="22"/>
          <w:szCs w:val="22"/>
        </w:rPr>
        <w:t xml:space="preserve">recommend that it is </w:t>
      </w:r>
      <w:r w:rsidR="00BE5D95">
        <w:rPr>
          <w:rFonts w:ascii="Arial" w:eastAsia="Times New Roman" w:hAnsi="Arial" w:cs="Arial"/>
          <w:sz w:val="22"/>
          <w:szCs w:val="22"/>
        </w:rPr>
        <w:t xml:space="preserve">crucial to assess </w:t>
      </w:r>
      <w:r w:rsidR="00BE5D95" w:rsidRPr="00966ECF">
        <w:rPr>
          <w:rFonts w:ascii="Arial" w:eastAsia="Times New Roman" w:hAnsi="Arial" w:cs="Arial"/>
          <w:sz w:val="22"/>
          <w:szCs w:val="22"/>
        </w:rPr>
        <w:t>dissociative symptoms across psychiatric disorders to aid cross-diagnostic comparison of the neural correlates of dissociative symptoms.</w:t>
      </w:r>
      <w:r w:rsidR="00F03FF8">
        <w:rPr>
          <w:rFonts w:ascii="Arial" w:hAnsi="Arial" w:cs="Arial"/>
          <w:sz w:val="22"/>
          <w:szCs w:val="22"/>
        </w:rPr>
        <w:t xml:space="preserve"> </w:t>
      </w:r>
      <w:r w:rsidR="001B4566" w:rsidRPr="00266592">
        <w:rPr>
          <w:rFonts w:ascii="Arial" w:hAnsi="Arial" w:cs="Arial"/>
          <w:sz w:val="22"/>
          <w:szCs w:val="22"/>
        </w:rPr>
        <w:t xml:space="preserve">Second, we employed a </w:t>
      </w:r>
      <w:r w:rsidR="00827991" w:rsidRPr="00266592">
        <w:rPr>
          <w:rFonts w:ascii="Arial" w:hAnsi="Arial" w:cs="Arial"/>
          <w:sz w:val="22"/>
          <w:szCs w:val="22"/>
        </w:rPr>
        <w:t>multicenter</w:t>
      </w:r>
      <w:r w:rsidR="001B4566" w:rsidRPr="00266592">
        <w:rPr>
          <w:rFonts w:ascii="Arial" w:hAnsi="Arial" w:cs="Arial"/>
          <w:sz w:val="22"/>
          <w:szCs w:val="22"/>
        </w:rPr>
        <w:t xml:space="preserve"> acquisition protocol to overcome single-site recruitment limitations. However, the MRI acquisition parameters were matched across sites</w:t>
      </w:r>
      <w:r w:rsidR="007C1190" w:rsidRPr="00266592">
        <w:rPr>
          <w:rFonts w:ascii="Arial" w:hAnsi="Arial" w:cs="Arial"/>
          <w:sz w:val="22"/>
          <w:szCs w:val="22"/>
        </w:rPr>
        <w:t xml:space="preserve"> using a study optimized scanning sequence</w:t>
      </w:r>
      <w:r w:rsidR="007C1190" w:rsidRPr="00266592">
        <w:rPr>
          <w:rFonts w:ascii="Arial" w:hAnsi="Arial" w:cs="Arial"/>
          <w:sz w:val="22"/>
          <w:szCs w:val="22"/>
        </w:rPr>
        <w:fldChar w:fldCharType="begin" w:fldLock="1"/>
      </w:r>
      <w:r w:rsidR="00404909">
        <w:rPr>
          <w:rFonts w:ascii="Arial" w:hAnsi="Arial" w:cs="Arial"/>
          <w:sz w:val="22"/>
          <w:szCs w:val="22"/>
        </w:rPr>
        <w:instrText>ADDIN CSL_CITATION { "citationItems" : [ { "id" : "ITEM-1", "itemData" : { "DOI" : "10.1186/1471-2342-12-27", "ISSN" : "1471-2342; 1471-2342", "abstract" : "ABSTRACT: BACKGROUND: Multi-center magnetic resonance imaging (MRI) studies present an opportunity to advance research by pooling data. However, brain measurements derived from MR-images are susceptible to differences in MR-sequence parameters. It is therefore necessary to determine whether there is an interaction between the sequence parameters and the effect of interest, and to minimise any such interaction by careful choice of acquisition parameters. As an exemplar of the issues involved in multi-center studies, we present data from a study in which we aimed to optimize a set of volumetric MRI-protocols to define a protocol giving data that are consistent and reproducible across two centers and over time. METHODS: Optimization was achieved based on data quality and quantitative measures, in our case using FreeSurfer and Voxel Based Morphometry approaches. Our approach consisted of a series of five comparisons. Firstly, a single-center dataset was collected, using a range of candidate pulse-sequences and parameters chosen on the basis of previous literature. Based on initial results, a number of minor changes were implemented to optimize the pulse-sequences, and a second single-center dataset was collected. FreeSurfer data quality measures were compared between datasets in order to determine the best performing sequence(s), which were taken forward to the next stage of testing. We subsequently acquired short-term and long-term two-center reproducibility data, and quantitative measures were again assessed to determine the protocol with the highest reproducibility across centers. Effects of a scanner software and hardware upgrade on the reproducibility of the protocols at one of the centers were also evaluated. RESULTS: Assessing the quality measures from the first two datasets allowed us to define artefact-free protocols, all with high image quality as assessed by FreeSurfer. Comparing the quantitative test and retest measures, we found high within-center reproducibility for all protocols, but lower between-center reproducibility for some protocols than other. The upgrade showed no important effects. CONCLUSIONS: We were able to determine (for the scanners used in this study) an optimised protocol, which gave the highest within- and between-center reproducibility of those assessed, and give details of this protocol here. More generally, we discuss some of the issues raised by multi-center studies and describe a methodical approach to take towards optim\u2026", "author" : [ { "dropping-particle" : "", "family" : "Chalavi", "given" : "S.", "non-dropping-particle" : "", "parse-names" : false, "suffix" : "" }, { "dropping-particle" : "", "family" : "Simmons", "given" : "A.", "non-dropping-particle" : "", "parse-names" : false, "suffix" : "" }, { "dropping-particle" : "", "family" : "Dijkstra", "given" : "H.", "non-dropping-particle" : "", "parse-names" : false, "suffix" : "" }, { "dropping-particle" : "", "family" : "Barker", "given" : "G. J.", "non-dropping-particle" : "", "parse-names" : false, "suffix" : "" }, { "dropping-particle" : "", "family" : "Reinders", "given" : "A. A.", "non-dropping-particle" : "", "parse-names" : false, "suffix" : "" } ], "container-title" : "BMC medical imaging", "id" : "ITEM-1", "issue" : "1", "issued" : { "date-parts" : [ [ "2012" ] ] }, "page" : "27", "title" : "Quantitative and qualitative assessment of structural magnetic resonance imaging data in a two-center study", "type" : "article-journal", "volume" : "12" }, "uris" : [ "http://www.mendeley.com/documents/?uuid=fcdefa6f-d2a7-4eec-a365-dd655f81b032" ] } ], "mendeley" : { "formattedCitation" : "(33)", "plainTextFormattedCitation" : "(33)", "previouslyFormattedCitation" : "(33)" }, "properties" : { "noteIndex" : 0 }, "schema" : "https://github.com/citation-style-language/schema/raw/master/csl-citation.json" }</w:instrText>
      </w:r>
      <w:r w:rsidR="007C1190" w:rsidRPr="00266592">
        <w:rPr>
          <w:rFonts w:ascii="Arial" w:hAnsi="Arial" w:cs="Arial"/>
          <w:sz w:val="22"/>
          <w:szCs w:val="22"/>
        </w:rPr>
        <w:fldChar w:fldCharType="separate"/>
      </w:r>
      <w:r w:rsidR="00A408CF" w:rsidRPr="00A408CF">
        <w:rPr>
          <w:rFonts w:ascii="Arial" w:hAnsi="Arial" w:cs="Arial"/>
          <w:noProof/>
          <w:sz w:val="22"/>
          <w:szCs w:val="22"/>
        </w:rPr>
        <w:t>(33)</w:t>
      </w:r>
      <w:r w:rsidR="007C1190" w:rsidRPr="00266592">
        <w:rPr>
          <w:rFonts w:ascii="Arial" w:hAnsi="Arial" w:cs="Arial"/>
          <w:sz w:val="22"/>
          <w:szCs w:val="22"/>
        </w:rPr>
        <w:fldChar w:fldCharType="end"/>
      </w:r>
      <w:r w:rsidR="008976F0" w:rsidRPr="00266592">
        <w:rPr>
          <w:rFonts w:ascii="Arial" w:hAnsi="Arial" w:cs="Arial"/>
          <w:sz w:val="22"/>
          <w:szCs w:val="22"/>
        </w:rPr>
        <w:t xml:space="preserve">. We </w:t>
      </w:r>
      <w:r w:rsidR="001B4566" w:rsidRPr="00266592">
        <w:rPr>
          <w:rFonts w:ascii="Arial" w:hAnsi="Arial" w:cs="Arial"/>
          <w:sz w:val="22"/>
          <w:szCs w:val="22"/>
        </w:rPr>
        <w:t>also accounted for inter-site effects in the statistic</w:t>
      </w:r>
      <w:r w:rsidR="007C1190" w:rsidRPr="00266592">
        <w:rPr>
          <w:rFonts w:ascii="Arial" w:hAnsi="Arial" w:cs="Arial"/>
          <w:sz w:val="22"/>
          <w:szCs w:val="22"/>
        </w:rPr>
        <w:t>al model</w:t>
      </w:r>
      <w:r w:rsidR="001B4566" w:rsidRPr="00266592">
        <w:rPr>
          <w:rFonts w:ascii="Arial" w:hAnsi="Arial" w:cs="Arial"/>
          <w:sz w:val="22"/>
          <w:szCs w:val="22"/>
        </w:rPr>
        <w:t>. The detected between-group differences thus cannot fully be ex</w:t>
      </w:r>
      <w:r w:rsidR="00A45342" w:rsidRPr="00266592">
        <w:rPr>
          <w:rFonts w:ascii="Arial" w:hAnsi="Arial" w:cs="Arial"/>
          <w:sz w:val="22"/>
          <w:szCs w:val="22"/>
        </w:rPr>
        <w:t>plained by this limitation. Third</w:t>
      </w:r>
      <w:r w:rsidR="001B4566" w:rsidRPr="00266592">
        <w:rPr>
          <w:rFonts w:ascii="Arial" w:hAnsi="Arial" w:cs="Arial"/>
          <w:sz w:val="22"/>
          <w:szCs w:val="22"/>
        </w:rPr>
        <w:t>, while there was no significant between-group difference in total</w:t>
      </w:r>
      <w:r w:rsidR="008976F0" w:rsidRPr="00266592">
        <w:rPr>
          <w:rFonts w:ascii="Arial" w:hAnsi="Arial" w:cs="Arial"/>
          <w:sz w:val="22"/>
          <w:szCs w:val="22"/>
        </w:rPr>
        <w:t xml:space="preserve"> SA</w:t>
      </w:r>
      <w:r w:rsidR="001B4566" w:rsidRPr="00266592">
        <w:rPr>
          <w:rFonts w:ascii="Arial" w:hAnsi="Arial" w:cs="Arial"/>
          <w:sz w:val="22"/>
          <w:szCs w:val="22"/>
        </w:rPr>
        <w:t xml:space="preserve"> or average</w:t>
      </w:r>
      <w:r w:rsidR="00C10F16" w:rsidRPr="00266592">
        <w:rPr>
          <w:rFonts w:ascii="Arial" w:hAnsi="Arial" w:cs="Arial"/>
          <w:sz w:val="22"/>
          <w:szCs w:val="22"/>
        </w:rPr>
        <w:t xml:space="preserve"> </w:t>
      </w:r>
      <w:r w:rsidR="008976F0" w:rsidRPr="00266592">
        <w:rPr>
          <w:rFonts w:ascii="Arial" w:hAnsi="Arial" w:cs="Arial"/>
          <w:sz w:val="22"/>
          <w:szCs w:val="22"/>
        </w:rPr>
        <w:t>CT</w:t>
      </w:r>
      <w:r w:rsidR="001B4566" w:rsidRPr="00266592">
        <w:rPr>
          <w:rFonts w:ascii="Arial" w:hAnsi="Arial" w:cs="Arial"/>
          <w:sz w:val="22"/>
          <w:szCs w:val="22"/>
        </w:rPr>
        <w:t xml:space="preserve">, we did observe a significant reduction in total grey matter volume in DID. However, as the purpose of our study was to determine what </w:t>
      </w:r>
      <w:r w:rsidR="00B60291" w:rsidRPr="00266592">
        <w:rPr>
          <w:rFonts w:ascii="Arial" w:hAnsi="Arial" w:cs="Arial"/>
          <w:sz w:val="22"/>
          <w:szCs w:val="22"/>
        </w:rPr>
        <w:t xml:space="preserve">drives </w:t>
      </w:r>
      <w:r w:rsidR="001B4566" w:rsidRPr="00266592">
        <w:rPr>
          <w:rFonts w:ascii="Arial" w:hAnsi="Arial" w:cs="Arial"/>
          <w:sz w:val="22"/>
          <w:szCs w:val="22"/>
        </w:rPr>
        <w:t xml:space="preserve">the volumetric differences in the brain </w:t>
      </w:r>
      <w:r w:rsidR="00C10F16" w:rsidRPr="00266592">
        <w:rPr>
          <w:rFonts w:ascii="Arial" w:hAnsi="Arial" w:cs="Arial"/>
          <w:sz w:val="22"/>
          <w:szCs w:val="22"/>
        </w:rPr>
        <w:t xml:space="preserve">in </w:t>
      </w:r>
      <w:r w:rsidR="001B4566" w:rsidRPr="00266592">
        <w:rPr>
          <w:rFonts w:ascii="Arial" w:hAnsi="Arial" w:cs="Arial"/>
          <w:sz w:val="22"/>
          <w:szCs w:val="22"/>
        </w:rPr>
        <w:t>DID (i.e.</w:t>
      </w:r>
      <w:r w:rsidR="00CF2302">
        <w:rPr>
          <w:rFonts w:ascii="Arial" w:hAnsi="Arial" w:cs="Arial"/>
          <w:sz w:val="22"/>
          <w:szCs w:val="22"/>
        </w:rPr>
        <w:t>,</w:t>
      </w:r>
      <w:r w:rsidR="001B4566" w:rsidRPr="00266592">
        <w:rPr>
          <w:rFonts w:ascii="Arial" w:hAnsi="Arial" w:cs="Arial"/>
          <w:sz w:val="22"/>
          <w:szCs w:val="22"/>
        </w:rPr>
        <w:t xml:space="preserve"> differences in CT and/or SA), it was essential to utilize the same GLM consistently across morphometric features</w:t>
      </w:r>
      <w:r w:rsidR="00C10F16" w:rsidRPr="00266592">
        <w:rPr>
          <w:rFonts w:ascii="Arial" w:hAnsi="Arial" w:cs="Arial"/>
          <w:sz w:val="22"/>
          <w:szCs w:val="22"/>
        </w:rPr>
        <w:t xml:space="preserve">. We </w:t>
      </w:r>
      <w:r w:rsidR="001B4566" w:rsidRPr="00266592">
        <w:rPr>
          <w:rFonts w:ascii="Arial" w:hAnsi="Arial" w:cs="Arial"/>
          <w:sz w:val="22"/>
          <w:szCs w:val="22"/>
        </w:rPr>
        <w:t xml:space="preserve">therefore did not co-vary for total grey matter volume in the vertex-wise analysis. </w:t>
      </w:r>
      <w:r w:rsidR="00377D28">
        <w:rPr>
          <w:rFonts w:ascii="Arial" w:hAnsi="Arial" w:cs="Arial"/>
          <w:sz w:val="22"/>
          <w:szCs w:val="22"/>
        </w:rPr>
        <w:t>Notably, we were not able to recruit</w:t>
      </w:r>
      <w:r w:rsidR="00377D28" w:rsidRPr="000E2899">
        <w:rPr>
          <w:rFonts w:ascii="Arial" w:hAnsi="Arial" w:cs="Arial"/>
          <w:sz w:val="22"/>
          <w:szCs w:val="22"/>
        </w:rPr>
        <w:t xml:space="preserve"> males with DID </w:t>
      </w:r>
      <w:r w:rsidR="00377D28">
        <w:rPr>
          <w:rFonts w:ascii="Arial" w:hAnsi="Arial" w:cs="Arial"/>
          <w:sz w:val="22"/>
          <w:szCs w:val="22"/>
        </w:rPr>
        <w:t>as part of the</w:t>
      </w:r>
      <w:r w:rsidR="00377D28" w:rsidRPr="000E2899">
        <w:rPr>
          <w:rFonts w:ascii="Arial" w:hAnsi="Arial" w:cs="Arial"/>
          <w:sz w:val="22"/>
          <w:szCs w:val="22"/>
        </w:rPr>
        <w:t xml:space="preserve"> study. Although we </w:t>
      </w:r>
      <w:r w:rsidR="00377D28" w:rsidRPr="000E2899">
        <w:rPr>
          <w:rFonts w:ascii="Arial" w:eastAsia="Times New Roman" w:hAnsi="Arial" w:cs="Arial"/>
          <w:sz w:val="22"/>
          <w:szCs w:val="22"/>
        </w:rPr>
        <w:t xml:space="preserve">suspect similar </w:t>
      </w:r>
      <w:r w:rsidR="00377D28">
        <w:rPr>
          <w:rFonts w:ascii="Arial" w:eastAsia="Times New Roman" w:hAnsi="Arial" w:cs="Arial"/>
          <w:sz w:val="22"/>
          <w:szCs w:val="22"/>
        </w:rPr>
        <w:t>results</w:t>
      </w:r>
      <w:r w:rsidR="00377D28" w:rsidRPr="000E2899">
        <w:rPr>
          <w:rFonts w:ascii="Arial" w:eastAsia="Times New Roman" w:hAnsi="Arial" w:cs="Arial"/>
          <w:sz w:val="22"/>
          <w:szCs w:val="22"/>
        </w:rPr>
        <w:t xml:space="preserve"> in males with DID</w:t>
      </w:r>
      <w:r w:rsidR="00377D28">
        <w:rPr>
          <w:rFonts w:ascii="Arial" w:eastAsia="Times New Roman" w:hAnsi="Arial" w:cs="Arial"/>
          <w:sz w:val="22"/>
          <w:szCs w:val="22"/>
        </w:rPr>
        <w:t>,</w:t>
      </w:r>
      <w:r w:rsidR="00377D28" w:rsidRPr="000E2899">
        <w:rPr>
          <w:rFonts w:ascii="Arial" w:hAnsi="Arial" w:cs="Arial"/>
          <w:sz w:val="22"/>
          <w:szCs w:val="22"/>
        </w:rPr>
        <w:t xml:space="preserve"> </w:t>
      </w:r>
      <w:r w:rsidR="00377D28">
        <w:rPr>
          <w:rFonts w:ascii="Arial" w:hAnsi="Arial" w:cs="Arial"/>
          <w:sz w:val="22"/>
          <w:szCs w:val="22"/>
        </w:rPr>
        <w:t>it will be crucial to replicate out findings in an independent sample of males with DID in the future. However</w:t>
      </w:r>
      <w:r w:rsidR="00377D28" w:rsidRPr="000E2899">
        <w:rPr>
          <w:rFonts w:ascii="Arial" w:hAnsi="Arial" w:cs="Arial"/>
          <w:sz w:val="22"/>
          <w:szCs w:val="22"/>
        </w:rPr>
        <w:t xml:space="preserve">, </w:t>
      </w:r>
      <w:r w:rsidR="00377D28">
        <w:rPr>
          <w:rFonts w:ascii="Arial" w:hAnsi="Arial" w:cs="Arial"/>
          <w:sz w:val="22"/>
          <w:szCs w:val="22"/>
        </w:rPr>
        <w:t xml:space="preserve">by focusing on females exclusively, our study design also minimized </w:t>
      </w:r>
      <w:r w:rsidR="00377D28" w:rsidRPr="000E2899">
        <w:rPr>
          <w:rFonts w:ascii="Arial" w:hAnsi="Arial" w:cs="Arial"/>
          <w:sz w:val="22"/>
          <w:szCs w:val="22"/>
        </w:rPr>
        <w:t xml:space="preserve">the neuroanatomical and clinical heterogeneity that could have been </w:t>
      </w:r>
      <w:r w:rsidR="00377D28">
        <w:rPr>
          <w:rFonts w:ascii="Arial" w:hAnsi="Arial" w:cs="Arial"/>
          <w:sz w:val="22"/>
          <w:szCs w:val="22"/>
        </w:rPr>
        <w:t>introduced by analyzing data across gender categories.</w:t>
      </w:r>
      <w:r w:rsidR="00F260AC">
        <w:rPr>
          <w:rFonts w:ascii="Arial" w:hAnsi="Arial" w:cs="Arial"/>
          <w:sz w:val="22"/>
          <w:szCs w:val="22"/>
        </w:rPr>
        <w:t xml:space="preserve"> </w:t>
      </w:r>
    </w:p>
    <w:p w14:paraId="31AFE803" w14:textId="764D478A" w:rsidR="001B4566" w:rsidRPr="00295F63" w:rsidRDefault="008253B2" w:rsidP="00BD5B71">
      <w:pPr>
        <w:spacing w:line="360" w:lineRule="auto"/>
        <w:ind w:firstLine="720"/>
        <w:rPr>
          <w:rFonts w:ascii="Arial" w:hAnsi="Arial" w:cs="Arial"/>
          <w:sz w:val="22"/>
          <w:szCs w:val="22"/>
        </w:rPr>
      </w:pPr>
      <w:r w:rsidRPr="00266592">
        <w:rPr>
          <w:rFonts w:ascii="Arial" w:hAnsi="Arial" w:cs="Arial"/>
          <w:sz w:val="22"/>
          <w:szCs w:val="22"/>
        </w:rPr>
        <w:t>In summary</w:t>
      </w:r>
      <w:r w:rsidR="00BA53D6" w:rsidRPr="00266592">
        <w:rPr>
          <w:rFonts w:ascii="Arial" w:hAnsi="Arial" w:cs="Arial"/>
          <w:sz w:val="22"/>
          <w:szCs w:val="22"/>
        </w:rPr>
        <w:t xml:space="preserve">, </w:t>
      </w:r>
      <w:r w:rsidR="001B4566" w:rsidRPr="00266592">
        <w:rPr>
          <w:rFonts w:ascii="Arial" w:hAnsi="Arial" w:cs="Arial"/>
          <w:sz w:val="22"/>
          <w:szCs w:val="22"/>
        </w:rPr>
        <w:t xml:space="preserve">DID </w:t>
      </w:r>
      <w:r w:rsidR="001C7E16">
        <w:rPr>
          <w:rFonts w:ascii="Arial" w:hAnsi="Arial" w:cs="Arial"/>
          <w:sz w:val="22"/>
          <w:szCs w:val="22"/>
        </w:rPr>
        <w:t>is</w:t>
      </w:r>
      <w:r w:rsidR="001C7E16" w:rsidRPr="00266592">
        <w:rPr>
          <w:rFonts w:ascii="Arial" w:hAnsi="Arial" w:cs="Arial"/>
          <w:sz w:val="22"/>
          <w:szCs w:val="22"/>
        </w:rPr>
        <w:t xml:space="preserve"> </w:t>
      </w:r>
      <w:r w:rsidR="001B4566" w:rsidRPr="00266592">
        <w:rPr>
          <w:rFonts w:ascii="Arial" w:hAnsi="Arial" w:cs="Arial"/>
          <w:sz w:val="22"/>
          <w:szCs w:val="22"/>
        </w:rPr>
        <w:t xml:space="preserve">accompanied by neuroanatomical deficits in </w:t>
      </w:r>
      <w:r w:rsidR="001C7E16">
        <w:rPr>
          <w:rFonts w:ascii="Arial" w:hAnsi="Arial" w:cs="Arial"/>
          <w:sz w:val="22"/>
          <w:szCs w:val="22"/>
        </w:rPr>
        <w:t xml:space="preserve">both </w:t>
      </w:r>
      <w:r w:rsidR="001B4566" w:rsidRPr="00266592">
        <w:rPr>
          <w:rFonts w:ascii="Arial" w:hAnsi="Arial" w:cs="Arial"/>
          <w:sz w:val="22"/>
          <w:szCs w:val="22"/>
        </w:rPr>
        <w:t>CT</w:t>
      </w:r>
      <w:r w:rsidR="001B4566" w:rsidRPr="00295F63">
        <w:rPr>
          <w:rFonts w:ascii="Arial" w:hAnsi="Arial" w:cs="Arial"/>
          <w:sz w:val="22"/>
          <w:szCs w:val="22"/>
        </w:rPr>
        <w:t xml:space="preserve"> and SA, which – in turn – lead to significant reductions in regional and</w:t>
      </w:r>
      <w:r w:rsidR="00BA53D6">
        <w:rPr>
          <w:rFonts w:ascii="Arial" w:hAnsi="Arial" w:cs="Arial"/>
          <w:sz w:val="22"/>
          <w:szCs w:val="22"/>
        </w:rPr>
        <w:t xml:space="preserve"> total brain volume.</w:t>
      </w:r>
      <w:r w:rsidR="00E960E1">
        <w:rPr>
          <w:rFonts w:ascii="Arial" w:hAnsi="Arial" w:cs="Arial"/>
          <w:sz w:val="22"/>
          <w:szCs w:val="22"/>
        </w:rPr>
        <w:t xml:space="preserve"> Whole-brain correlation analyses revealed </w:t>
      </w:r>
      <w:r w:rsidR="005459CF">
        <w:rPr>
          <w:rFonts w:ascii="Arial" w:hAnsi="Arial" w:cs="Arial"/>
          <w:sz w:val="22"/>
          <w:szCs w:val="22"/>
        </w:rPr>
        <w:t xml:space="preserve">significant </w:t>
      </w:r>
      <w:r w:rsidR="00E960E1">
        <w:rPr>
          <w:rFonts w:ascii="Arial" w:hAnsi="Arial" w:cs="Arial"/>
          <w:sz w:val="22"/>
          <w:szCs w:val="22"/>
        </w:rPr>
        <w:t>associations between</w:t>
      </w:r>
      <w:r w:rsidR="000C5E72">
        <w:rPr>
          <w:rFonts w:ascii="Arial" w:hAnsi="Arial" w:cs="Arial"/>
          <w:sz w:val="22"/>
          <w:szCs w:val="22"/>
        </w:rPr>
        <w:t xml:space="preserve"> abnormal brain morphology</w:t>
      </w:r>
      <w:r w:rsidR="004473B2">
        <w:rPr>
          <w:rFonts w:ascii="Arial" w:hAnsi="Arial" w:cs="Arial"/>
          <w:sz w:val="22"/>
          <w:szCs w:val="22"/>
        </w:rPr>
        <w:t xml:space="preserve">, </w:t>
      </w:r>
      <w:r w:rsidR="00E960E1">
        <w:rPr>
          <w:rFonts w:ascii="Arial" w:hAnsi="Arial" w:cs="Arial"/>
          <w:sz w:val="22"/>
          <w:szCs w:val="22"/>
        </w:rPr>
        <w:t>dissociative symptoms</w:t>
      </w:r>
      <w:r w:rsidR="004473B2">
        <w:rPr>
          <w:rFonts w:ascii="Arial" w:hAnsi="Arial" w:cs="Arial"/>
          <w:sz w:val="22"/>
          <w:szCs w:val="22"/>
        </w:rPr>
        <w:t xml:space="preserve"> and early traumatization</w:t>
      </w:r>
      <w:r w:rsidR="00815E12">
        <w:rPr>
          <w:rFonts w:ascii="Arial" w:hAnsi="Arial" w:cs="Arial"/>
          <w:sz w:val="22"/>
          <w:szCs w:val="22"/>
        </w:rPr>
        <w:t xml:space="preserve"> </w:t>
      </w:r>
      <w:r w:rsidR="004473B2">
        <w:rPr>
          <w:rFonts w:ascii="Arial" w:hAnsi="Arial" w:cs="Arial"/>
          <w:sz w:val="22"/>
          <w:szCs w:val="22"/>
        </w:rPr>
        <w:t xml:space="preserve">in SA and CV, but not CT. </w:t>
      </w:r>
      <w:r w:rsidR="00FA2910" w:rsidRPr="00295F63">
        <w:rPr>
          <w:rFonts w:ascii="Arial" w:hAnsi="Arial" w:cs="Arial"/>
          <w:sz w:val="22"/>
          <w:szCs w:val="22"/>
        </w:rPr>
        <w:t>T</w:t>
      </w:r>
      <w:r w:rsidR="00FA2910" w:rsidRPr="00295F63">
        <w:rPr>
          <w:rFonts w:ascii="Arial" w:eastAsiaTheme="minorHAnsi" w:hAnsi="Arial" w:cs="Arial"/>
          <w:sz w:val="22"/>
          <w:szCs w:val="22"/>
          <w:lang w:val="en-GB"/>
        </w:rPr>
        <w:t>he spatially largely non</w:t>
      </w:r>
      <w:r w:rsidR="00B60291" w:rsidRPr="00295F63">
        <w:rPr>
          <w:rFonts w:ascii="Arial" w:eastAsiaTheme="minorHAnsi" w:hAnsi="Arial" w:cs="Arial"/>
          <w:sz w:val="22"/>
          <w:szCs w:val="22"/>
          <w:lang w:val="en-GB"/>
        </w:rPr>
        <w:t>-</w:t>
      </w:r>
      <w:r w:rsidR="00FA2910" w:rsidRPr="00295F63">
        <w:rPr>
          <w:rFonts w:ascii="Arial" w:eastAsiaTheme="minorHAnsi" w:hAnsi="Arial" w:cs="Arial"/>
          <w:sz w:val="22"/>
          <w:szCs w:val="22"/>
          <w:lang w:val="en-GB"/>
        </w:rPr>
        <w:t xml:space="preserve">overlapping distributed patterns for CT and SA indicate </w:t>
      </w:r>
      <w:r w:rsidR="00FA2910" w:rsidRPr="00295F63">
        <w:rPr>
          <w:rFonts w:ascii="Arial" w:hAnsi="Arial" w:cs="Arial"/>
          <w:color w:val="000000"/>
          <w:sz w:val="22"/>
          <w:szCs w:val="22"/>
        </w:rPr>
        <w:t xml:space="preserve">distinct </w:t>
      </w:r>
      <w:r w:rsidR="002A3314">
        <w:rPr>
          <w:rFonts w:ascii="Arial" w:hAnsi="Arial" w:cs="Arial"/>
          <w:color w:val="000000"/>
          <w:sz w:val="22"/>
          <w:szCs w:val="22"/>
        </w:rPr>
        <w:t>neuro</w:t>
      </w:r>
      <w:r w:rsidR="00FA2910" w:rsidRPr="00295F63">
        <w:rPr>
          <w:rFonts w:ascii="Arial" w:hAnsi="Arial" w:cs="Arial"/>
          <w:color w:val="000000"/>
          <w:sz w:val="22"/>
          <w:szCs w:val="22"/>
        </w:rPr>
        <w:t>developmental pathways that are likely modulated by different neurobiological mechanisms and environmental factors</w:t>
      </w:r>
      <w:r w:rsidR="00BA53D6">
        <w:rPr>
          <w:rFonts w:ascii="Arial" w:hAnsi="Arial" w:cs="Arial"/>
          <w:color w:val="000000"/>
          <w:sz w:val="22"/>
          <w:szCs w:val="22"/>
        </w:rPr>
        <w:t xml:space="preserve">, </w:t>
      </w:r>
      <w:r w:rsidR="007719F3">
        <w:rPr>
          <w:rFonts w:ascii="Arial" w:hAnsi="Arial" w:cs="Arial"/>
          <w:color w:val="000000"/>
          <w:sz w:val="22"/>
          <w:szCs w:val="22"/>
        </w:rPr>
        <w:t xml:space="preserve">such as </w:t>
      </w:r>
      <w:r w:rsidR="00FA2910" w:rsidRPr="00295F63">
        <w:rPr>
          <w:rFonts w:ascii="Arial" w:hAnsi="Arial" w:cs="Arial"/>
          <w:color w:val="000000"/>
          <w:sz w:val="22"/>
          <w:szCs w:val="22"/>
        </w:rPr>
        <w:t>childhood traumatization.</w:t>
      </w:r>
    </w:p>
    <w:p w14:paraId="44647DDA" w14:textId="77777777" w:rsidR="00FF0B49" w:rsidRDefault="00FF0B49" w:rsidP="00A263E5">
      <w:pPr>
        <w:spacing w:line="360" w:lineRule="auto"/>
        <w:rPr>
          <w:rFonts w:ascii="Arial" w:hAnsi="Arial" w:cs="Arial"/>
          <w:sz w:val="22"/>
          <w:szCs w:val="22"/>
        </w:rPr>
      </w:pPr>
    </w:p>
    <w:p w14:paraId="5E3CE7F7" w14:textId="77777777" w:rsidR="00FF0B49" w:rsidRPr="00BA1B74" w:rsidRDefault="00FF0B49" w:rsidP="007B1457">
      <w:pPr>
        <w:spacing w:line="360" w:lineRule="auto"/>
        <w:rPr>
          <w:rFonts w:ascii="Arial" w:hAnsi="Arial" w:cs="Arial"/>
          <w:b/>
          <w:bCs/>
          <w:sz w:val="20"/>
          <w:szCs w:val="20"/>
        </w:rPr>
      </w:pPr>
      <w:r w:rsidRPr="00BA1B74">
        <w:rPr>
          <w:rFonts w:ascii="Arial" w:hAnsi="Arial" w:cs="Arial"/>
          <w:b/>
          <w:bCs/>
          <w:sz w:val="20"/>
          <w:szCs w:val="20"/>
        </w:rPr>
        <w:t>ACKNOWLEDGEMENTS</w:t>
      </w:r>
    </w:p>
    <w:p w14:paraId="534BF23A" w14:textId="564D9B3A" w:rsidR="00C1770F" w:rsidRPr="00ED528F" w:rsidRDefault="00FF0B49" w:rsidP="00C1770F">
      <w:pPr>
        <w:pStyle w:val="Normaalweb"/>
        <w:spacing w:before="0" w:beforeAutospacing="0" w:after="0" w:afterAutospacing="0" w:line="360" w:lineRule="auto"/>
        <w:rPr>
          <w:rFonts w:ascii="Arial" w:hAnsi="Arial" w:cs="Arial"/>
          <w:sz w:val="22"/>
          <w:szCs w:val="22"/>
          <w:lang w:val="en-US"/>
        </w:rPr>
      </w:pPr>
      <w:r w:rsidRPr="00FF0B49">
        <w:rPr>
          <w:rFonts w:ascii="Arial" w:hAnsi="Arial" w:cs="Arial"/>
          <w:sz w:val="22"/>
          <w:szCs w:val="22"/>
          <w:lang w:val="en-US"/>
        </w:rPr>
        <w:t>A.A.T.S. Reinders was supported by the Netherlands Organization for Scientific Research (</w:t>
      </w:r>
      <w:hyperlink r:id="rId9" w:history="1">
        <w:r w:rsidRPr="00FF0B49">
          <w:rPr>
            <w:rStyle w:val="Hyperlink"/>
            <w:rFonts w:ascii="Arial" w:hAnsi="Arial" w:cs="Arial"/>
            <w:sz w:val="22"/>
            <w:szCs w:val="22"/>
          </w:rPr>
          <w:t>www.nwo.nl</w:t>
        </w:r>
      </w:hyperlink>
      <w:r w:rsidRPr="00FF0B49">
        <w:rPr>
          <w:rFonts w:ascii="Arial" w:hAnsi="Arial" w:cs="Arial"/>
          <w:sz w:val="22"/>
          <w:szCs w:val="22"/>
          <w:lang w:val="en-US"/>
        </w:rPr>
        <w:t>), NWO-VENI grant no. 451-07-009.</w:t>
      </w:r>
      <w:r w:rsidRPr="00FF0B49">
        <w:rPr>
          <w:rFonts w:ascii="Arial" w:eastAsia="Helvetica" w:hAnsi="Arial" w:cs="Arial"/>
          <w:kern w:val="1"/>
          <w:sz w:val="22"/>
          <w:szCs w:val="22"/>
          <w:lang w:val="en-US" w:eastAsia="hi-IN" w:bidi="hi-IN"/>
        </w:rPr>
        <w:t xml:space="preserve"> </w:t>
      </w:r>
      <w:r w:rsidRPr="00FF0B49">
        <w:rPr>
          <w:rFonts w:ascii="Arial" w:hAnsi="Arial" w:cs="Arial"/>
          <w:sz w:val="22"/>
          <w:szCs w:val="22"/>
          <w:lang w:val="en-US"/>
        </w:rPr>
        <w:t>S. Chalavi was supported by David Caul graduate research grant from the International Society for the Study of Trauma and Dissociation (ISSTD) (</w:t>
      </w:r>
      <w:hyperlink r:id="rId10" w:history="1">
        <w:r w:rsidRPr="00FF0B49">
          <w:rPr>
            <w:rStyle w:val="Hyperlink"/>
            <w:rFonts w:ascii="Arial" w:hAnsi="Arial" w:cs="Arial"/>
            <w:sz w:val="22"/>
            <w:szCs w:val="22"/>
          </w:rPr>
          <w:t>http://www.isst-d.org/about/awards.htm</w:t>
        </w:r>
      </w:hyperlink>
      <w:r w:rsidRPr="00FF0B49">
        <w:rPr>
          <w:rFonts w:ascii="Arial" w:hAnsi="Arial" w:cs="Arial"/>
          <w:sz w:val="22"/>
          <w:szCs w:val="22"/>
          <w:lang w:val="en-US"/>
        </w:rPr>
        <w:t xml:space="preserve">). </w:t>
      </w:r>
      <w:r w:rsidR="00556325">
        <w:rPr>
          <w:rFonts w:ascii="Arial" w:hAnsi="Arial" w:cs="Arial"/>
          <w:sz w:val="22"/>
          <w:szCs w:val="22"/>
          <w:lang w:val="en-US"/>
        </w:rPr>
        <w:t>Yolanda Schlumpf was supported by the Forschungskredit UZH  (</w:t>
      </w:r>
      <w:r w:rsidR="00556325" w:rsidRPr="001C6E85">
        <w:rPr>
          <w:rFonts w:ascii="Arial" w:hAnsi="Arial" w:cs="Arial"/>
          <w:sz w:val="22"/>
          <w:szCs w:val="22"/>
          <w:lang w:val="en-US"/>
        </w:rPr>
        <w:t>http://www.researchers.uzh.ch/de/funding/phd/fkcandoc.html</w:t>
      </w:r>
      <w:r w:rsidR="00556325">
        <w:rPr>
          <w:rFonts w:ascii="Arial" w:hAnsi="Arial" w:cs="Arial"/>
          <w:sz w:val="22"/>
          <w:szCs w:val="22"/>
          <w:lang w:val="en-US"/>
        </w:rPr>
        <w:t xml:space="preserve">). </w:t>
      </w:r>
      <w:r w:rsidRPr="00FF0B49">
        <w:rPr>
          <w:rFonts w:ascii="Arial" w:hAnsi="Arial" w:cs="Arial"/>
          <w:sz w:val="22"/>
          <w:szCs w:val="22"/>
          <w:lang w:val="en-US"/>
        </w:rPr>
        <w:t xml:space="preserve">The authors would like to thank all the participants and their therapists. We also would like to thank </w:t>
      </w:r>
      <w:r w:rsidRPr="00FF0B49">
        <w:rPr>
          <w:rFonts w:ascii="Arial" w:hAnsi="Arial" w:cs="Arial"/>
          <w:sz w:val="22"/>
          <w:szCs w:val="22"/>
        </w:rPr>
        <w:t xml:space="preserve">Nel Draijer, Mechteld Giesen, Ekaterina Weder, and Eva Zimmermann for </w:t>
      </w:r>
      <w:r w:rsidRPr="00FF0B49">
        <w:rPr>
          <w:rFonts w:ascii="Arial" w:hAnsi="Arial" w:cs="Arial"/>
          <w:sz w:val="22"/>
          <w:szCs w:val="22"/>
          <w:lang w:val="en-US"/>
        </w:rPr>
        <w:t>participant inclusion and scanning.</w:t>
      </w:r>
      <w:r w:rsidR="005006AC">
        <w:rPr>
          <w:rFonts w:ascii="Arial" w:hAnsi="Arial" w:cs="Arial"/>
          <w:sz w:val="22"/>
          <w:szCs w:val="22"/>
          <w:lang w:val="en-US"/>
        </w:rPr>
        <w:t xml:space="preserve"> </w:t>
      </w:r>
      <w:r w:rsidR="005006AC" w:rsidRPr="005006AC">
        <w:rPr>
          <w:rFonts w:ascii="Arial" w:hAnsi="Arial" w:cs="Arial"/>
          <w:sz w:val="22"/>
          <w:szCs w:val="22"/>
          <w:lang w:val="en-US"/>
        </w:rPr>
        <w:t xml:space="preserve">Paola Dazzan </w:t>
      </w:r>
      <w:r w:rsidR="005006AC">
        <w:rPr>
          <w:rFonts w:ascii="Arial" w:hAnsi="Arial" w:cs="Arial"/>
          <w:sz w:val="22"/>
          <w:szCs w:val="22"/>
          <w:lang w:val="en-US"/>
        </w:rPr>
        <w:t xml:space="preserve">is </w:t>
      </w:r>
      <w:r w:rsidR="005006AC" w:rsidRPr="005006AC">
        <w:rPr>
          <w:rFonts w:ascii="Arial" w:hAnsi="Arial" w:cs="Arial"/>
          <w:sz w:val="22"/>
          <w:szCs w:val="22"/>
          <w:lang w:val="en-US"/>
        </w:rPr>
        <w:t>thanked for comments on the manuscript</w:t>
      </w:r>
      <w:r w:rsidR="005006AC" w:rsidRPr="00ED528F">
        <w:rPr>
          <w:rFonts w:ascii="Arial" w:hAnsi="Arial" w:cs="Arial"/>
          <w:sz w:val="22"/>
          <w:szCs w:val="22"/>
          <w:lang w:val="en-US"/>
        </w:rPr>
        <w:t>.</w:t>
      </w:r>
      <w:r w:rsidR="00DC590C" w:rsidRPr="00ED528F">
        <w:rPr>
          <w:rFonts w:ascii="Arial" w:hAnsi="Arial" w:cs="Arial"/>
          <w:sz w:val="22"/>
          <w:szCs w:val="22"/>
          <w:lang w:val="en-US"/>
        </w:rPr>
        <w:t xml:space="preserve"> </w:t>
      </w:r>
      <w:r w:rsidR="00DC590C" w:rsidRPr="008C3C74">
        <w:rPr>
          <w:rFonts w:ascii="Arial" w:eastAsia="Times New Roman" w:hAnsi="Arial" w:cs="Arial"/>
          <w:sz w:val="22"/>
          <w:szCs w:val="22"/>
        </w:rPr>
        <w:t>This paper represents independent research part funded by the National Institute for Health Research (NIHR) Biomedical Research Centre at South London and Maudsley NHS Foundation Trust and King’s College London. The views expressed are those of the author(s) and not necessarily those of the NHS, the NIHR or the Department of Health.</w:t>
      </w:r>
    </w:p>
    <w:p w14:paraId="2D0D99C5" w14:textId="77777777" w:rsidR="00B253F4" w:rsidRPr="00B253F4" w:rsidRDefault="00B253F4" w:rsidP="00B253F4">
      <w:pPr>
        <w:pStyle w:val="Normaalweb"/>
        <w:spacing w:before="0" w:beforeAutospacing="0" w:after="0" w:afterAutospacing="0" w:line="360" w:lineRule="auto"/>
        <w:rPr>
          <w:rFonts w:ascii="Arial" w:hAnsi="Arial" w:cs="Arial"/>
          <w:sz w:val="22"/>
          <w:szCs w:val="22"/>
          <w:lang w:val="en-US"/>
        </w:rPr>
      </w:pPr>
    </w:p>
    <w:p w14:paraId="50E751DD" w14:textId="68BAC80B" w:rsidR="00B253F4" w:rsidRDefault="00757E0B" w:rsidP="00757E0B">
      <w:pPr>
        <w:spacing w:line="360" w:lineRule="auto"/>
        <w:rPr>
          <w:rFonts w:ascii="Arial" w:hAnsi="Arial" w:cs="Arial"/>
          <w:bCs/>
          <w:sz w:val="22"/>
          <w:szCs w:val="22"/>
        </w:rPr>
      </w:pPr>
      <w:r>
        <w:rPr>
          <w:rFonts w:ascii="Arial" w:hAnsi="Arial" w:cs="Arial"/>
          <w:b/>
          <w:bCs/>
          <w:sz w:val="22"/>
          <w:szCs w:val="22"/>
        </w:rPr>
        <w:t>DECLARATION OF INTEREST</w:t>
      </w:r>
    </w:p>
    <w:p w14:paraId="60994B80" w14:textId="73F250DA" w:rsidR="00757E0B" w:rsidRPr="00B253F4" w:rsidRDefault="00757E0B" w:rsidP="00757E0B">
      <w:pPr>
        <w:spacing w:line="360" w:lineRule="auto"/>
        <w:rPr>
          <w:rFonts w:ascii="Arial" w:hAnsi="Arial" w:cs="Arial"/>
          <w:bCs/>
          <w:sz w:val="22"/>
          <w:szCs w:val="22"/>
        </w:rPr>
      </w:pPr>
      <w:r>
        <w:rPr>
          <w:rFonts w:ascii="Arial" w:hAnsi="Arial" w:cs="Arial"/>
          <w:bCs/>
          <w:sz w:val="22"/>
          <w:szCs w:val="22"/>
        </w:rPr>
        <w:t>None.</w:t>
      </w:r>
    </w:p>
    <w:p w14:paraId="67C93546" w14:textId="77777777" w:rsidR="00B253F4" w:rsidRPr="00B253F4" w:rsidRDefault="00B253F4" w:rsidP="00C1770F">
      <w:pPr>
        <w:pStyle w:val="Normaalweb"/>
        <w:spacing w:before="0" w:beforeAutospacing="0" w:after="0" w:afterAutospacing="0" w:line="360" w:lineRule="auto"/>
        <w:rPr>
          <w:rFonts w:ascii="Arial" w:hAnsi="Arial" w:cs="Arial"/>
          <w:sz w:val="22"/>
          <w:szCs w:val="22"/>
          <w:lang w:val="en-US"/>
        </w:rPr>
      </w:pPr>
    </w:p>
    <w:p w14:paraId="4FBA620D" w14:textId="77777777" w:rsidR="00C1770F" w:rsidRPr="00B253F4" w:rsidRDefault="00C1770F" w:rsidP="00C1770F">
      <w:pPr>
        <w:pStyle w:val="Normaalweb"/>
        <w:spacing w:before="0" w:beforeAutospacing="0" w:after="0" w:afterAutospacing="0" w:line="360" w:lineRule="auto"/>
        <w:rPr>
          <w:rFonts w:ascii="Arial" w:hAnsi="Arial" w:cs="Arial"/>
          <w:sz w:val="22"/>
          <w:szCs w:val="22"/>
          <w:lang w:val="en-US"/>
        </w:rPr>
      </w:pPr>
    </w:p>
    <w:p w14:paraId="3C505BC6" w14:textId="5A81D3AE" w:rsidR="00C1770F" w:rsidRPr="00C1770F" w:rsidRDefault="00C1770F" w:rsidP="00C1770F">
      <w:pPr>
        <w:pStyle w:val="Normaalweb"/>
        <w:spacing w:before="0" w:beforeAutospacing="0" w:after="0" w:afterAutospacing="0" w:line="360" w:lineRule="auto"/>
        <w:rPr>
          <w:rFonts w:ascii="Arial" w:eastAsiaTheme="minorEastAsia" w:hAnsi="Arial" w:cs="Arial"/>
          <w:b/>
          <w:sz w:val="22"/>
          <w:szCs w:val="22"/>
          <w:lang w:val="en-US"/>
        </w:rPr>
      </w:pPr>
      <w:r w:rsidRPr="00B253F4">
        <w:rPr>
          <w:rFonts w:ascii="Arial" w:hAnsi="Arial" w:cs="Arial"/>
          <w:b/>
          <w:sz w:val="22"/>
          <w:szCs w:val="22"/>
          <w:lang w:val="en-US"/>
        </w:rPr>
        <w:br w:type="column"/>
      </w:r>
      <w:r w:rsidRPr="00C1770F">
        <w:rPr>
          <w:rFonts w:ascii="Arial" w:hAnsi="Arial" w:cs="Arial"/>
          <w:b/>
          <w:sz w:val="22"/>
          <w:szCs w:val="22"/>
          <w:lang w:val="en-US"/>
        </w:rPr>
        <w:lastRenderedPageBreak/>
        <w:t>REFERENCES</w:t>
      </w:r>
    </w:p>
    <w:p w14:paraId="40327BF7" w14:textId="3938C120" w:rsidR="00B001EC" w:rsidRPr="00B001EC" w:rsidRDefault="00C1770F" w:rsidP="00B001EC">
      <w:pPr>
        <w:widowControl w:val="0"/>
        <w:autoSpaceDE w:val="0"/>
        <w:autoSpaceDN w:val="0"/>
        <w:adjustRightInd w:val="0"/>
        <w:spacing w:line="360" w:lineRule="auto"/>
        <w:ind w:left="640" w:hanging="640"/>
        <w:rPr>
          <w:rFonts w:ascii="Arial" w:hAnsi="Arial" w:cs="Arial"/>
          <w:noProof/>
          <w:sz w:val="22"/>
        </w:rPr>
      </w:pPr>
      <w:r>
        <w:rPr>
          <w:rFonts w:ascii="Arial" w:hAnsi="Arial" w:cs="Arial"/>
          <w:b/>
          <w:sz w:val="22"/>
          <w:szCs w:val="22"/>
        </w:rPr>
        <w:fldChar w:fldCharType="begin" w:fldLock="1"/>
      </w:r>
      <w:r>
        <w:rPr>
          <w:rFonts w:ascii="Arial" w:hAnsi="Arial" w:cs="Arial"/>
          <w:b/>
          <w:sz w:val="22"/>
          <w:szCs w:val="22"/>
        </w:rPr>
        <w:instrText xml:space="preserve">ADDIN Mendeley Bibliography CSL_BIBLIOGRAPHY </w:instrText>
      </w:r>
      <w:r>
        <w:rPr>
          <w:rFonts w:ascii="Arial" w:hAnsi="Arial" w:cs="Arial"/>
          <w:b/>
          <w:sz w:val="22"/>
          <w:szCs w:val="22"/>
        </w:rPr>
        <w:fldChar w:fldCharType="separate"/>
      </w:r>
      <w:r w:rsidR="00B001EC" w:rsidRPr="00B001EC">
        <w:rPr>
          <w:rFonts w:ascii="Arial" w:hAnsi="Arial" w:cs="Arial"/>
          <w:noProof/>
          <w:sz w:val="22"/>
        </w:rPr>
        <w:t>1.</w:t>
      </w:r>
      <w:r w:rsidR="00B001EC" w:rsidRPr="00B001EC">
        <w:rPr>
          <w:rFonts w:ascii="Arial" w:hAnsi="Arial" w:cs="Arial"/>
          <w:noProof/>
          <w:sz w:val="22"/>
        </w:rPr>
        <w:tab/>
      </w:r>
      <w:r w:rsidR="00B001EC" w:rsidRPr="00B001EC">
        <w:rPr>
          <w:rFonts w:ascii="Arial" w:hAnsi="Arial" w:cs="Arial"/>
          <w:smallCaps/>
          <w:noProof/>
          <w:sz w:val="22"/>
        </w:rPr>
        <w:t>Dalenberg</w:t>
      </w:r>
      <w:r w:rsidR="00B001EC" w:rsidRPr="00B001EC">
        <w:rPr>
          <w:rFonts w:ascii="Arial" w:hAnsi="Arial" w:cs="Arial"/>
          <w:noProof/>
          <w:sz w:val="22"/>
        </w:rPr>
        <w:t xml:space="preserve"> CJ, </w:t>
      </w:r>
      <w:r w:rsidR="00B001EC" w:rsidRPr="00B001EC">
        <w:rPr>
          <w:rFonts w:ascii="Arial" w:hAnsi="Arial" w:cs="Arial"/>
          <w:smallCaps/>
          <w:noProof/>
          <w:sz w:val="22"/>
        </w:rPr>
        <w:t>Brand</w:t>
      </w:r>
      <w:r w:rsidR="00B001EC" w:rsidRPr="00B001EC">
        <w:rPr>
          <w:rFonts w:ascii="Arial" w:hAnsi="Arial" w:cs="Arial"/>
          <w:noProof/>
          <w:sz w:val="22"/>
        </w:rPr>
        <w:t xml:space="preserve"> BL, </w:t>
      </w:r>
      <w:r w:rsidR="00B001EC" w:rsidRPr="00B001EC">
        <w:rPr>
          <w:rFonts w:ascii="Arial" w:hAnsi="Arial" w:cs="Arial"/>
          <w:smallCaps/>
          <w:noProof/>
          <w:sz w:val="22"/>
        </w:rPr>
        <w:t>Gleaves</w:t>
      </w:r>
      <w:r w:rsidR="00B001EC" w:rsidRPr="00B001EC">
        <w:rPr>
          <w:rFonts w:ascii="Arial" w:hAnsi="Arial" w:cs="Arial"/>
          <w:noProof/>
          <w:sz w:val="22"/>
        </w:rPr>
        <w:t xml:space="preserve"> DH et al. Evaluation of the evidence for the trauma and fantasy models of dissociation. Psychol Bull 2012;</w:t>
      </w:r>
      <w:r w:rsidR="00B001EC" w:rsidRPr="00B001EC">
        <w:rPr>
          <w:rFonts w:ascii="Arial" w:hAnsi="Arial" w:cs="Arial"/>
          <w:b/>
          <w:bCs/>
          <w:noProof/>
          <w:sz w:val="22"/>
        </w:rPr>
        <w:t>138</w:t>
      </w:r>
      <w:r w:rsidR="00B001EC" w:rsidRPr="00B001EC">
        <w:rPr>
          <w:rFonts w:ascii="Arial" w:hAnsi="Arial" w:cs="Arial"/>
          <w:noProof/>
          <w:sz w:val="22"/>
        </w:rPr>
        <w:t>:550–588.</w:t>
      </w:r>
    </w:p>
    <w:p w14:paraId="6BCA9050"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2.</w:t>
      </w:r>
      <w:r w:rsidRPr="00B001EC">
        <w:rPr>
          <w:rFonts w:ascii="Arial" w:hAnsi="Arial" w:cs="Arial"/>
          <w:noProof/>
          <w:sz w:val="22"/>
        </w:rPr>
        <w:tab/>
      </w:r>
      <w:r w:rsidRPr="00B001EC">
        <w:rPr>
          <w:rFonts w:ascii="Arial" w:hAnsi="Arial" w:cs="Arial"/>
          <w:smallCaps/>
          <w:noProof/>
          <w:sz w:val="22"/>
        </w:rPr>
        <w:t>Nijenhuis</w:t>
      </w:r>
      <w:r w:rsidRPr="00B001EC">
        <w:rPr>
          <w:rFonts w:ascii="Arial" w:hAnsi="Arial" w:cs="Arial"/>
          <w:noProof/>
          <w:sz w:val="22"/>
        </w:rPr>
        <w:t xml:space="preserve"> ERS. </w:t>
      </w:r>
      <w:r w:rsidRPr="00B001EC">
        <w:rPr>
          <w:rFonts w:ascii="Arial" w:hAnsi="Arial" w:cs="Arial"/>
          <w:i/>
          <w:iCs/>
          <w:noProof/>
          <w:sz w:val="22"/>
        </w:rPr>
        <w:t>The trinity of trauma: Ignorance, fragility, and control: The evolving concept of trauma / The concept and facts of dissociation in trauma</w:t>
      </w:r>
      <w:r w:rsidRPr="00B001EC">
        <w:rPr>
          <w:rFonts w:ascii="Arial" w:hAnsi="Arial" w:cs="Arial"/>
          <w:noProof/>
          <w:sz w:val="22"/>
        </w:rPr>
        <w:t>. Göttingen: Vandenhoeck &amp; Ruprecht, 2015</w:t>
      </w:r>
    </w:p>
    <w:p w14:paraId="550F483E"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3.</w:t>
      </w:r>
      <w:r w:rsidRPr="00B001EC">
        <w:rPr>
          <w:rFonts w:ascii="Arial" w:hAnsi="Arial" w:cs="Arial"/>
          <w:noProof/>
          <w:sz w:val="22"/>
        </w:rPr>
        <w:tab/>
      </w:r>
      <w:r w:rsidRPr="00B001EC">
        <w:rPr>
          <w:rFonts w:ascii="Arial" w:hAnsi="Arial" w:cs="Arial"/>
          <w:smallCaps/>
          <w:noProof/>
          <w:sz w:val="22"/>
        </w:rPr>
        <w:t>Chalavi</w:t>
      </w:r>
      <w:r w:rsidRPr="00B001EC">
        <w:rPr>
          <w:rFonts w:ascii="Arial" w:hAnsi="Arial" w:cs="Arial"/>
          <w:noProof/>
          <w:sz w:val="22"/>
        </w:rPr>
        <w:t xml:space="preserve"> S, </w:t>
      </w:r>
      <w:r w:rsidRPr="00B001EC">
        <w:rPr>
          <w:rFonts w:ascii="Arial" w:hAnsi="Arial" w:cs="Arial"/>
          <w:smallCaps/>
          <w:noProof/>
          <w:sz w:val="22"/>
        </w:rPr>
        <w:t>Vissia</w:t>
      </w:r>
      <w:r w:rsidRPr="00B001EC">
        <w:rPr>
          <w:rFonts w:ascii="Arial" w:hAnsi="Arial" w:cs="Arial"/>
          <w:noProof/>
          <w:sz w:val="22"/>
        </w:rPr>
        <w:t xml:space="preserve"> EM, </w:t>
      </w:r>
      <w:r w:rsidRPr="00B001EC">
        <w:rPr>
          <w:rFonts w:ascii="Arial" w:hAnsi="Arial" w:cs="Arial"/>
          <w:smallCaps/>
          <w:noProof/>
          <w:sz w:val="22"/>
        </w:rPr>
        <w:t>Giesen</w:t>
      </w:r>
      <w:r w:rsidRPr="00B001EC">
        <w:rPr>
          <w:rFonts w:ascii="Arial" w:hAnsi="Arial" w:cs="Arial"/>
          <w:noProof/>
          <w:sz w:val="22"/>
        </w:rPr>
        <w:t xml:space="preserve"> ME et al. Abnormal hippocampal morphology in dissociative identity disorder and post-traumatic stress disorder correlates with childhood trauma and dissociative symptoms. Hum Brain Mapp 2015;</w:t>
      </w:r>
      <w:r w:rsidRPr="00B001EC">
        <w:rPr>
          <w:rFonts w:ascii="Arial" w:hAnsi="Arial" w:cs="Arial"/>
          <w:b/>
          <w:bCs/>
          <w:noProof/>
          <w:sz w:val="22"/>
        </w:rPr>
        <w:t>36</w:t>
      </w:r>
      <w:r w:rsidRPr="00B001EC">
        <w:rPr>
          <w:rFonts w:ascii="Arial" w:hAnsi="Arial" w:cs="Arial"/>
          <w:noProof/>
          <w:sz w:val="22"/>
        </w:rPr>
        <w:t>:1692–1704.</w:t>
      </w:r>
    </w:p>
    <w:p w14:paraId="4653640A"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4.</w:t>
      </w:r>
      <w:r w:rsidRPr="00B001EC">
        <w:rPr>
          <w:rFonts w:ascii="Arial" w:hAnsi="Arial" w:cs="Arial"/>
          <w:noProof/>
          <w:sz w:val="22"/>
        </w:rPr>
        <w:tab/>
      </w:r>
      <w:r w:rsidRPr="00B001EC">
        <w:rPr>
          <w:rFonts w:ascii="Arial" w:hAnsi="Arial" w:cs="Arial"/>
          <w:smallCaps/>
          <w:noProof/>
          <w:sz w:val="22"/>
        </w:rPr>
        <w:t>Chalavi</w:t>
      </w:r>
      <w:r w:rsidRPr="00B001EC">
        <w:rPr>
          <w:rFonts w:ascii="Arial" w:hAnsi="Arial" w:cs="Arial"/>
          <w:noProof/>
          <w:sz w:val="22"/>
        </w:rPr>
        <w:t xml:space="preserve"> S, </w:t>
      </w:r>
      <w:r w:rsidRPr="00B001EC">
        <w:rPr>
          <w:rFonts w:ascii="Arial" w:hAnsi="Arial" w:cs="Arial"/>
          <w:smallCaps/>
          <w:noProof/>
          <w:sz w:val="22"/>
        </w:rPr>
        <w:t>Vissia</w:t>
      </w:r>
      <w:r w:rsidRPr="00B001EC">
        <w:rPr>
          <w:rFonts w:ascii="Arial" w:hAnsi="Arial" w:cs="Arial"/>
          <w:noProof/>
          <w:sz w:val="22"/>
        </w:rPr>
        <w:t xml:space="preserve"> EM, </w:t>
      </w:r>
      <w:r w:rsidRPr="00B001EC">
        <w:rPr>
          <w:rFonts w:ascii="Arial" w:hAnsi="Arial" w:cs="Arial"/>
          <w:smallCaps/>
          <w:noProof/>
          <w:sz w:val="22"/>
        </w:rPr>
        <w:t>Giesen</w:t>
      </w:r>
      <w:r w:rsidRPr="00B001EC">
        <w:rPr>
          <w:rFonts w:ascii="Arial" w:hAnsi="Arial" w:cs="Arial"/>
          <w:noProof/>
          <w:sz w:val="22"/>
        </w:rPr>
        <w:t xml:space="preserve"> ME et al. Similar cortical but not subcortical gray matter abnormalities in women with posttraumatic stress disorder with versus without dissociative identity disorder. Psychiatry Res 2015;</w:t>
      </w:r>
      <w:r w:rsidRPr="00B001EC">
        <w:rPr>
          <w:rFonts w:ascii="Arial" w:hAnsi="Arial" w:cs="Arial"/>
          <w:b/>
          <w:bCs/>
          <w:noProof/>
          <w:sz w:val="22"/>
        </w:rPr>
        <w:t>231</w:t>
      </w:r>
      <w:r w:rsidRPr="00B001EC">
        <w:rPr>
          <w:rFonts w:ascii="Arial" w:hAnsi="Arial" w:cs="Arial"/>
          <w:noProof/>
          <w:sz w:val="22"/>
        </w:rPr>
        <w:t>:308–319.</w:t>
      </w:r>
    </w:p>
    <w:p w14:paraId="0831B498"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5.</w:t>
      </w:r>
      <w:r w:rsidRPr="00B001EC">
        <w:rPr>
          <w:rFonts w:ascii="Arial" w:hAnsi="Arial" w:cs="Arial"/>
          <w:noProof/>
          <w:sz w:val="22"/>
        </w:rPr>
        <w:tab/>
      </w:r>
      <w:r w:rsidRPr="00B001EC">
        <w:rPr>
          <w:rFonts w:ascii="Arial" w:hAnsi="Arial" w:cs="Arial"/>
          <w:smallCaps/>
          <w:noProof/>
          <w:sz w:val="22"/>
        </w:rPr>
        <w:t>Vissia</w:t>
      </w:r>
      <w:r w:rsidRPr="00B001EC">
        <w:rPr>
          <w:rFonts w:ascii="Arial" w:hAnsi="Arial" w:cs="Arial"/>
          <w:noProof/>
          <w:sz w:val="22"/>
        </w:rPr>
        <w:t xml:space="preserve"> EM, </w:t>
      </w:r>
      <w:r w:rsidRPr="00B001EC">
        <w:rPr>
          <w:rFonts w:ascii="Arial" w:hAnsi="Arial" w:cs="Arial"/>
          <w:smallCaps/>
          <w:noProof/>
          <w:sz w:val="22"/>
        </w:rPr>
        <w:t>Giesen</w:t>
      </w:r>
      <w:r w:rsidRPr="00B001EC">
        <w:rPr>
          <w:rFonts w:ascii="Arial" w:hAnsi="Arial" w:cs="Arial"/>
          <w:noProof/>
          <w:sz w:val="22"/>
        </w:rPr>
        <w:t xml:space="preserve"> ME, </w:t>
      </w:r>
      <w:r w:rsidRPr="00B001EC">
        <w:rPr>
          <w:rFonts w:ascii="Arial" w:hAnsi="Arial" w:cs="Arial"/>
          <w:smallCaps/>
          <w:noProof/>
          <w:sz w:val="22"/>
        </w:rPr>
        <w:t>Chalavi</w:t>
      </w:r>
      <w:r w:rsidRPr="00B001EC">
        <w:rPr>
          <w:rFonts w:ascii="Arial" w:hAnsi="Arial" w:cs="Arial"/>
          <w:noProof/>
          <w:sz w:val="22"/>
        </w:rPr>
        <w:t xml:space="preserve"> S et al. Is it Trauma- or Fantasy-based? Comparing dissociative identity disorder, post-traumatic stress disorder, simulators, and controls. Acta Psychiatr Scand 2016;</w:t>
      </w:r>
      <w:r w:rsidRPr="00B001EC">
        <w:rPr>
          <w:rFonts w:ascii="Arial" w:hAnsi="Arial" w:cs="Arial"/>
          <w:b/>
          <w:bCs/>
          <w:noProof/>
          <w:sz w:val="22"/>
        </w:rPr>
        <w:t>134</w:t>
      </w:r>
      <w:r w:rsidRPr="00B001EC">
        <w:rPr>
          <w:rFonts w:ascii="Arial" w:hAnsi="Arial" w:cs="Arial"/>
          <w:noProof/>
          <w:sz w:val="22"/>
        </w:rPr>
        <w:t>:111–128.</w:t>
      </w:r>
    </w:p>
    <w:p w14:paraId="75E9E057"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6.</w:t>
      </w:r>
      <w:r w:rsidRPr="00B001EC">
        <w:rPr>
          <w:rFonts w:ascii="Arial" w:hAnsi="Arial" w:cs="Arial"/>
          <w:noProof/>
          <w:sz w:val="22"/>
        </w:rPr>
        <w:tab/>
      </w:r>
      <w:r w:rsidRPr="00B001EC">
        <w:rPr>
          <w:rFonts w:ascii="Arial" w:hAnsi="Arial" w:cs="Arial"/>
          <w:smallCaps/>
          <w:noProof/>
          <w:sz w:val="22"/>
        </w:rPr>
        <w:t>Brand</w:t>
      </w:r>
      <w:r w:rsidRPr="00B001EC">
        <w:rPr>
          <w:rFonts w:ascii="Arial" w:hAnsi="Arial" w:cs="Arial"/>
          <w:noProof/>
          <w:sz w:val="22"/>
        </w:rPr>
        <w:t xml:space="preserve"> BL, </w:t>
      </w:r>
      <w:r w:rsidRPr="00B001EC">
        <w:rPr>
          <w:rFonts w:ascii="Arial" w:hAnsi="Arial" w:cs="Arial"/>
          <w:smallCaps/>
          <w:noProof/>
          <w:sz w:val="22"/>
        </w:rPr>
        <w:t>Vissia</w:t>
      </w:r>
      <w:r w:rsidRPr="00B001EC">
        <w:rPr>
          <w:rFonts w:ascii="Arial" w:hAnsi="Arial" w:cs="Arial"/>
          <w:noProof/>
          <w:sz w:val="22"/>
        </w:rPr>
        <w:t xml:space="preserve"> EM, </w:t>
      </w:r>
      <w:r w:rsidRPr="00B001EC">
        <w:rPr>
          <w:rFonts w:ascii="Arial" w:hAnsi="Arial" w:cs="Arial"/>
          <w:smallCaps/>
          <w:noProof/>
          <w:sz w:val="22"/>
        </w:rPr>
        <w:t>Chalavi</w:t>
      </w:r>
      <w:r w:rsidRPr="00B001EC">
        <w:rPr>
          <w:rFonts w:ascii="Arial" w:hAnsi="Arial" w:cs="Arial"/>
          <w:noProof/>
          <w:sz w:val="22"/>
        </w:rPr>
        <w:t xml:space="preserve"> S et al. DID is trauma based: further evidence supporting the trauma model of DID. Acta Psychiatr Scand 2016;</w:t>
      </w:r>
      <w:r w:rsidRPr="00B001EC">
        <w:rPr>
          <w:rFonts w:ascii="Arial" w:hAnsi="Arial" w:cs="Arial"/>
          <w:b/>
          <w:bCs/>
          <w:noProof/>
          <w:sz w:val="22"/>
        </w:rPr>
        <w:t>134</w:t>
      </w:r>
      <w:r w:rsidRPr="00B001EC">
        <w:rPr>
          <w:rFonts w:ascii="Arial" w:hAnsi="Arial" w:cs="Arial"/>
          <w:noProof/>
          <w:sz w:val="22"/>
        </w:rPr>
        <w:t>:560–563.</w:t>
      </w:r>
    </w:p>
    <w:p w14:paraId="2850617E"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7.</w:t>
      </w:r>
      <w:r w:rsidRPr="00B001EC">
        <w:rPr>
          <w:rFonts w:ascii="Arial" w:hAnsi="Arial" w:cs="Arial"/>
          <w:noProof/>
          <w:sz w:val="22"/>
        </w:rPr>
        <w:tab/>
      </w:r>
      <w:r w:rsidRPr="00B001EC">
        <w:rPr>
          <w:rFonts w:ascii="Arial" w:hAnsi="Arial" w:cs="Arial"/>
          <w:smallCaps/>
          <w:noProof/>
          <w:sz w:val="22"/>
        </w:rPr>
        <w:t>Roth</w:t>
      </w:r>
      <w:r w:rsidRPr="00B001EC">
        <w:rPr>
          <w:rFonts w:ascii="Arial" w:hAnsi="Arial" w:cs="Arial"/>
          <w:noProof/>
          <w:sz w:val="22"/>
        </w:rPr>
        <w:t xml:space="preserve"> TL, </w:t>
      </w:r>
      <w:r w:rsidRPr="00B001EC">
        <w:rPr>
          <w:rFonts w:ascii="Arial" w:hAnsi="Arial" w:cs="Arial"/>
          <w:smallCaps/>
          <w:noProof/>
          <w:sz w:val="22"/>
        </w:rPr>
        <w:t>Lubin</w:t>
      </w:r>
      <w:r w:rsidRPr="00B001EC">
        <w:rPr>
          <w:rFonts w:ascii="Arial" w:hAnsi="Arial" w:cs="Arial"/>
          <w:noProof/>
          <w:sz w:val="22"/>
        </w:rPr>
        <w:t xml:space="preserve"> FD, </w:t>
      </w:r>
      <w:r w:rsidRPr="00B001EC">
        <w:rPr>
          <w:rFonts w:ascii="Arial" w:hAnsi="Arial" w:cs="Arial"/>
          <w:smallCaps/>
          <w:noProof/>
          <w:sz w:val="22"/>
        </w:rPr>
        <w:t>Funk</w:t>
      </w:r>
      <w:r w:rsidRPr="00B001EC">
        <w:rPr>
          <w:rFonts w:ascii="Arial" w:hAnsi="Arial" w:cs="Arial"/>
          <w:noProof/>
          <w:sz w:val="22"/>
        </w:rPr>
        <w:t xml:space="preserve"> AJ, </w:t>
      </w:r>
      <w:r w:rsidRPr="00B001EC">
        <w:rPr>
          <w:rFonts w:ascii="Arial" w:hAnsi="Arial" w:cs="Arial"/>
          <w:smallCaps/>
          <w:noProof/>
          <w:sz w:val="22"/>
        </w:rPr>
        <w:t>Sweatt</w:t>
      </w:r>
      <w:r w:rsidRPr="00B001EC">
        <w:rPr>
          <w:rFonts w:ascii="Arial" w:hAnsi="Arial" w:cs="Arial"/>
          <w:noProof/>
          <w:sz w:val="22"/>
        </w:rPr>
        <w:t xml:space="preserve"> JD. Lasting epigenetic influence of early-life adversity on the BDNF gene. Biol Psychiatry 2009;</w:t>
      </w:r>
      <w:r w:rsidRPr="00B001EC">
        <w:rPr>
          <w:rFonts w:ascii="Arial" w:hAnsi="Arial" w:cs="Arial"/>
          <w:b/>
          <w:bCs/>
          <w:noProof/>
          <w:sz w:val="22"/>
        </w:rPr>
        <w:t>65</w:t>
      </w:r>
      <w:r w:rsidRPr="00B001EC">
        <w:rPr>
          <w:rFonts w:ascii="Arial" w:hAnsi="Arial" w:cs="Arial"/>
          <w:noProof/>
          <w:sz w:val="22"/>
        </w:rPr>
        <w:t>:760–769.</w:t>
      </w:r>
    </w:p>
    <w:p w14:paraId="2EB8EA3A"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8.</w:t>
      </w:r>
      <w:r w:rsidRPr="00B001EC">
        <w:rPr>
          <w:rFonts w:ascii="Arial" w:hAnsi="Arial" w:cs="Arial"/>
          <w:noProof/>
          <w:sz w:val="22"/>
        </w:rPr>
        <w:tab/>
      </w:r>
      <w:r w:rsidRPr="00B001EC">
        <w:rPr>
          <w:rFonts w:ascii="Arial" w:hAnsi="Arial" w:cs="Arial"/>
          <w:smallCaps/>
          <w:noProof/>
          <w:sz w:val="22"/>
        </w:rPr>
        <w:t>Houtepen</w:t>
      </w:r>
      <w:r w:rsidRPr="00B001EC">
        <w:rPr>
          <w:rFonts w:ascii="Arial" w:hAnsi="Arial" w:cs="Arial"/>
          <w:noProof/>
          <w:sz w:val="22"/>
        </w:rPr>
        <w:t xml:space="preserve"> LC, </w:t>
      </w:r>
      <w:r w:rsidRPr="00B001EC">
        <w:rPr>
          <w:rFonts w:ascii="Arial" w:hAnsi="Arial" w:cs="Arial"/>
          <w:smallCaps/>
          <w:noProof/>
          <w:sz w:val="22"/>
        </w:rPr>
        <w:t>Vinkers</w:t>
      </w:r>
      <w:r w:rsidRPr="00B001EC">
        <w:rPr>
          <w:rFonts w:ascii="Arial" w:hAnsi="Arial" w:cs="Arial"/>
          <w:noProof/>
          <w:sz w:val="22"/>
        </w:rPr>
        <w:t xml:space="preserve"> CH, </w:t>
      </w:r>
      <w:r w:rsidRPr="00B001EC">
        <w:rPr>
          <w:rFonts w:ascii="Arial" w:hAnsi="Arial" w:cs="Arial"/>
          <w:smallCaps/>
          <w:noProof/>
          <w:sz w:val="22"/>
        </w:rPr>
        <w:t>Carrillo-Roa</w:t>
      </w:r>
      <w:r w:rsidRPr="00B001EC">
        <w:rPr>
          <w:rFonts w:ascii="Arial" w:hAnsi="Arial" w:cs="Arial"/>
          <w:noProof/>
          <w:sz w:val="22"/>
        </w:rPr>
        <w:t xml:space="preserve"> T et al. Genome-wide DNA methylation levels and altered cortisol stress reactivity following childhood trauma in humans. Nat Commun 2016;</w:t>
      </w:r>
      <w:r w:rsidRPr="00B001EC">
        <w:rPr>
          <w:rFonts w:ascii="Arial" w:hAnsi="Arial" w:cs="Arial"/>
          <w:b/>
          <w:bCs/>
          <w:noProof/>
          <w:sz w:val="22"/>
        </w:rPr>
        <w:t>7</w:t>
      </w:r>
      <w:r w:rsidRPr="00B001EC">
        <w:rPr>
          <w:rFonts w:ascii="Arial" w:hAnsi="Arial" w:cs="Arial"/>
          <w:noProof/>
          <w:sz w:val="22"/>
        </w:rPr>
        <w:t>:10967.</w:t>
      </w:r>
    </w:p>
    <w:p w14:paraId="06FE898B"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9.</w:t>
      </w:r>
      <w:r w:rsidRPr="00B001EC">
        <w:rPr>
          <w:rFonts w:ascii="Arial" w:hAnsi="Arial" w:cs="Arial"/>
          <w:noProof/>
          <w:sz w:val="22"/>
        </w:rPr>
        <w:tab/>
      </w:r>
      <w:r w:rsidRPr="00B001EC">
        <w:rPr>
          <w:rFonts w:ascii="Arial" w:hAnsi="Arial" w:cs="Arial"/>
          <w:smallCaps/>
          <w:noProof/>
          <w:sz w:val="22"/>
        </w:rPr>
        <w:t>Ecker</w:t>
      </w:r>
      <w:r w:rsidRPr="00B001EC">
        <w:rPr>
          <w:rFonts w:ascii="Arial" w:hAnsi="Arial" w:cs="Arial"/>
          <w:noProof/>
          <w:sz w:val="22"/>
        </w:rPr>
        <w:t xml:space="preserve"> C, </w:t>
      </w:r>
      <w:r w:rsidRPr="00B001EC">
        <w:rPr>
          <w:rFonts w:ascii="Arial" w:hAnsi="Arial" w:cs="Arial"/>
          <w:smallCaps/>
          <w:noProof/>
          <w:sz w:val="22"/>
        </w:rPr>
        <w:t>Ginestet</w:t>
      </w:r>
      <w:r w:rsidRPr="00B001EC">
        <w:rPr>
          <w:rFonts w:ascii="Arial" w:hAnsi="Arial" w:cs="Arial"/>
          <w:noProof/>
          <w:sz w:val="22"/>
        </w:rPr>
        <w:t xml:space="preserve"> C, </w:t>
      </w:r>
      <w:r w:rsidRPr="00B001EC">
        <w:rPr>
          <w:rFonts w:ascii="Arial" w:hAnsi="Arial" w:cs="Arial"/>
          <w:smallCaps/>
          <w:noProof/>
          <w:sz w:val="22"/>
        </w:rPr>
        <w:t>Feng</w:t>
      </w:r>
      <w:r w:rsidRPr="00B001EC">
        <w:rPr>
          <w:rFonts w:ascii="Arial" w:hAnsi="Arial" w:cs="Arial"/>
          <w:noProof/>
          <w:sz w:val="22"/>
        </w:rPr>
        <w:t xml:space="preserve"> Y et al. Brain surface anatomy in adults with autism: the relationship between surface area, cortical thickness, and autistic symptoms. JAMA psychiatry 2013;</w:t>
      </w:r>
      <w:r w:rsidRPr="00B001EC">
        <w:rPr>
          <w:rFonts w:ascii="Arial" w:hAnsi="Arial" w:cs="Arial"/>
          <w:b/>
          <w:bCs/>
          <w:noProof/>
          <w:sz w:val="22"/>
        </w:rPr>
        <w:t>70</w:t>
      </w:r>
      <w:r w:rsidRPr="00B001EC">
        <w:rPr>
          <w:rFonts w:ascii="Arial" w:hAnsi="Arial" w:cs="Arial"/>
          <w:noProof/>
          <w:sz w:val="22"/>
        </w:rPr>
        <w:t>:59–70.</w:t>
      </w:r>
    </w:p>
    <w:p w14:paraId="6DEF3E22"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10.</w:t>
      </w:r>
      <w:r w:rsidRPr="00B001EC">
        <w:rPr>
          <w:rFonts w:ascii="Arial" w:hAnsi="Arial" w:cs="Arial"/>
          <w:noProof/>
          <w:sz w:val="22"/>
        </w:rPr>
        <w:tab/>
      </w:r>
      <w:r w:rsidRPr="00B001EC">
        <w:rPr>
          <w:rFonts w:ascii="Arial" w:hAnsi="Arial" w:cs="Arial"/>
          <w:smallCaps/>
          <w:noProof/>
          <w:sz w:val="22"/>
        </w:rPr>
        <w:t>APA</w:t>
      </w:r>
      <w:r w:rsidRPr="00B001EC">
        <w:rPr>
          <w:rFonts w:ascii="Arial" w:hAnsi="Arial" w:cs="Arial"/>
          <w:noProof/>
          <w:sz w:val="22"/>
        </w:rPr>
        <w:t>. American Psychiatric Association: Diagnostic and Statistical Manual of Mental Disorders, DSM-5. Am. Psychiatr. Assoc. 2013;:Fifth Edition. Arlington, VA.</w:t>
      </w:r>
    </w:p>
    <w:p w14:paraId="0E2F97BD"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11.</w:t>
      </w:r>
      <w:r w:rsidRPr="00B001EC">
        <w:rPr>
          <w:rFonts w:ascii="Arial" w:hAnsi="Arial" w:cs="Arial"/>
          <w:noProof/>
          <w:sz w:val="22"/>
        </w:rPr>
        <w:tab/>
      </w:r>
      <w:r w:rsidRPr="00B001EC">
        <w:rPr>
          <w:rFonts w:ascii="Arial" w:hAnsi="Arial" w:cs="Arial"/>
          <w:smallCaps/>
          <w:noProof/>
          <w:sz w:val="22"/>
        </w:rPr>
        <w:t>Sar</w:t>
      </w:r>
      <w:r w:rsidRPr="00B001EC">
        <w:rPr>
          <w:rFonts w:ascii="Arial" w:hAnsi="Arial" w:cs="Arial"/>
          <w:noProof/>
          <w:sz w:val="22"/>
        </w:rPr>
        <w:t xml:space="preserve"> V, </w:t>
      </w:r>
      <w:r w:rsidRPr="00B001EC">
        <w:rPr>
          <w:rFonts w:ascii="Arial" w:hAnsi="Arial" w:cs="Arial"/>
          <w:smallCaps/>
          <w:noProof/>
          <w:sz w:val="22"/>
        </w:rPr>
        <w:t>Akyüz</w:t>
      </w:r>
      <w:r w:rsidRPr="00B001EC">
        <w:rPr>
          <w:rFonts w:ascii="Arial" w:hAnsi="Arial" w:cs="Arial"/>
          <w:noProof/>
          <w:sz w:val="22"/>
        </w:rPr>
        <w:t xml:space="preserve"> G, </w:t>
      </w:r>
      <w:r w:rsidRPr="00B001EC">
        <w:rPr>
          <w:rFonts w:ascii="Arial" w:hAnsi="Arial" w:cs="Arial"/>
          <w:smallCaps/>
          <w:noProof/>
          <w:sz w:val="22"/>
        </w:rPr>
        <w:t>Doğan</w:t>
      </w:r>
      <w:r w:rsidRPr="00B001EC">
        <w:rPr>
          <w:rFonts w:ascii="Arial" w:hAnsi="Arial" w:cs="Arial"/>
          <w:noProof/>
          <w:sz w:val="22"/>
        </w:rPr>
        <w:t xml:space="preserve"> O. Prevalence of dissociative disorders among women in the general population. Psychiatry Res 2007;</w:t>
      </w:r>
      <w:r w:rsidRPr="00B001EC">
        <w:rPr>
          <w:rFonts w:ascii="Arial" w:hAnsi="Arial" w:cs="Arial"/>
          <w:b/>
          <w:bCs/>
          <w:noProof/>
          <w:sz w:val="22"/>
        </w:rPr>
        <w:t>149</w:t>
      </w:r>
      <w:r w:rsidRPr="00B001EC">
        <w:rPr>
          <w:rFonts w:ascii="Arial" w:hAnsi="Arial" w:cs="Arial"/>
          <w:noProof/>
          <w:sz w:val="22"/>
        </w:rPr>
        <w:t>:169–176.</w:t>
      </w:r>
    </w:p>
    <w:p w14:paraId="52DCEB07"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12.</w:t>
      </w:r>
      <w:r w:rsidRPr="00B001EC">
        <w:rPr>
          <w:rFonts w:ascii="Arial" w:hAnsi="Arial" w:cs="Arial"/>
          <w:noProof/>
          <w:sz w:val="22"/>
        </w:rPr>
        <w:tab/>
      </w:r>
      <w:r w:rsidRPr="00B001EC">
        <w:rPr>
          <w:rFonts w:ascii="Arial" w:hAnsi="Arial" w:cs="Arial"/>
          <w:smallCaps/>
          <w:noProof/>
          <w:sz w:val="22"/>
        </w:rPr>
        <w:t>Foote</w:t>
      </w:r>
      <w:r w:rsidRPr="00B001EC">
        <w:rPr>
          <w:rFonts w:ascii="Arial" w:hAnsi="Arial" w:cs="Arial"/>
          <w:noProof/>
          <w:sz w:val="22"/>
        </w:rPr>
        <w:t xml:space="preserve"> B, </w:t>
      </w:r>
      <w:r w:rsidRPr="00B001EC">
        <w:rPr>
          <w:rFonts w:ascii="Arial" w:hAnsi="Arial" w:cs="Arial"/>
          <w:smallCaps/>
          <w:noProof/>
          <w:sz w:val="22"/>
        </w:rPr>
        <w:t>Smolin</w:t>
      </w:r>
      <w:r w:rsidRPr="00B001EC">
        <w:rPr>
          <w:rFonts w:ascii="Arial" w:hAnsi="Arial" w:cs="Arial"/>
          <w:noProof/>
          <w:sz w:val="22"/>
        </w:rPr>
        <w:t xml:space="preserve"> Y, </w:t>
      </w:r>
      <w:r w:rsidRPr="00B001EC">
        <w:rPr>
          <w:rFonts w:ascii="Arial" w:hAnsi="Arial" w:cs="Arial"/>
          <w:smallCaps/>
          <w:noProof/>
          <w:sz w:val="22"/>
        </w:rPr>
        <w:t>Kaplan</w:t>
      </w:r>
      <w:r w:rsidRPr="00B001EC">
        <w:rPr>
          <w:rFonts w:ascii="Arial" w:hAnsi="Arial" w:cs="Arial"/>
          <w:noProof/>
          <w:sz w:val="22"/>
        </w:rPr>
        <w:t xml:space="preserve"> M, </w:t>
      </w:r>
      <w:r w:rsidRPr="00B001EC">
        <w:rPr>
          <w:rFonts w:ascii="Arial" w:hAnsi="Arial" w:cs="Arial"/>
          <w:smallCaps/>
          <w:noProof/>
          <w:sz w:val="22"/>
        </w:rPr>
        <w:t>Legatt</w:t>
      </w:r>
      <w:r w:rsidRPr="00B001EC">
        <w:rPr>
          <w:rFonts w:ascii="Arial" w:hAnsi="Arial" w:cs="Arial"/>
          <w:noProof/>
          <w:sz w:val="22"/>
        </w:rPr>
        <w:t xml:space="preserve"> ME, </w:t>
      </w:r>
      <w:r w:rsidRPr="00B001EC">
        <w:rPr>
          <w:rFonts w:ascii="Arial" w:hAnsi="Arial" w:cs="Arial"/>
          <w:smallCaps/>
          <w:noProof/>
          <w:sz w:val="22"/>
        </w:rPr>
        <w:t>Lipschitz</w:t>
      </w:r>
      <w:r w:rsidRPr="00B001EC">
        <w:rPr>
          <w:rFonts w:ascii="Arial" w:hAnsi="Arial" w:cs="Arial"/>
          <w:noProof/>
          <w:sz w:val="22"/>
        </w:rPr>
        <w:t xml:space="preserve"> D. Prevalence of dissociative disorders in psychiatric outpatients. Am J Psychiatry 2006;</w:t>
      </w:r>
      <w:r w:rsidRPr="00B001EC">
        <w:rPr>
          <w:rFonts w:ascii="Arial" w:hAnsi="Arial" w:cs="Arial"/>
          <w:b/>
          <w:bCs/>
          <w:noProof/>
          <w:sz w:val="22"/>
        </w:rPr>
        <w:t>163</w:t>
      </w:r>
      <w:r w:rsidRPr="00B001EC">
        <w:rPr>
          <w:rFonts w:ascii="Arial" w:hAnsi="Arial" w:cs="Arial"/>
          <w:noProof/>
          <w:sz w:val="22"/>
        </w:rPr>
        <w:t>:623–629.</w:t>
      </w:r>
    </w:p>
    <w:p w14:paraId="00313C52"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13.</w:t>
      </w:r>
      <w:r w:rsidRPr="00B001EC">
        <w:rPr>
          <w:rFonts w:ascii="Arial" w:hAnsi="Arial" w:cs="Arial"/>
          <w:noProof/>
          <w:sz w:val="22"/>
        </w:rPr>
        <w:tab/>
      </w:r>
      <w:r w:rsidRPr="00B001EC">
        <w:rPr>
          <w:rFonts w:ascii="Arial" w:hAnsi="Arial" w:cs="Arial"/>
          <w:smallCaps/>
          <w:noProof/>
          <w:sz w:val="22"/>
        </w:rPr>
        <w:t>Tsai</w:t>
      </w:r>
      <w:r w:rsidRPr="00B001EC">
        <w:rPr>
          <w:rFonts w:ascii="Arial" w:hAnsi="Arial" w:cs="Arial"/>
          <w:noProof/>
          <w:sz w:val="22"/>
        </w:rPr>
        <w:t xml:space="preserve"> GE, </w:t>
      </w:r>
      <w:r w:rsidRPr="00B001EC">
        <w:rPr>
          <w:rFonts w:ascii="Arial" w:hAnsi="Arial" w:cs="Arial"/>
          <w:smallCaps/>
          <w:noProof/>
          <w:sz w:val="22"/>
        </w:rPr>
        <w:t>Condie</w:t>
      </w:r>
      <w:r w:rsidRPr="00B001EC">
        <w:rPr>
          <w:rFonts w:ascii="Arial" w:hAnsi="Arial" w:cs="Arial"/>
          <w:noProof/>
          <w:sz w:val="22"/>
        </w:rPr>
        <w:t xml:space="preserve"> D, </w:t>
      </w:r>
      <w:r w:rsidRPr="00B001EC">
        <w:rPr>
          <w:rFonts w:ascii="Arial" w:hAnsi="Arial" w:cs="Arial"/>
          <w:smallCaps/>
          <w:noProof/>
          <w:sz w:val="22"/>
        </w:rPr>
        <w:t>Wu</w:t>
      </w:r>
      <w:r w:rsidRPr="00B001EC">
        <w:rPr>
          <w:rFonts w:ascii="Arial" w:hAnsi="Arial" w:cs="Arial"/>
          <w:noProof/>
          <w:sz w:val="22"/>
        </w:rPr>
        <w:t xml:space="preserve"> MT, </w:t>
      </w:r>
      <w:r w:rsidRPr="00B001EC">
        <w:rPr>
          <w:rFonts w:ascii="Arial" w:hAnsi="Arial" w:cs="Arial"/>
          <w:smallCaps/>
          <w:noProof/>
          <w:sz w:val="22"/>
        </w:rPr>
        <w:t>Chang</w:t>
      </w:r>
      <w:r w:rsidRPr="00B001EC">
        <w:rPr>
          <w:rFonts w:ascii="Arial" w:hAnsi="Arial" w:cs="Arial"/>
          <w:noProof/>
          <w:sz w:val="22"/>
        </w:rPr>
        <w:t xml:space="preserve"> IW. Functional magnetic resonance imaging of personality switches in a woman with dissociative identity disorder. Harv Rev Psychiatry 1999;</w:t>
      </w:r>
      <w:r w:rsidRPr="00B001EC">
        <w:rPr>
          <w:rFonts w:ascii="Arial" w:hAnsi="Arial" w:cs="Arial"/>
          <w:b/>
          <w:bCs/>
          <w:noProof/>
          <w:sz w:val="22"/>
        </w:rPr>
        <w:t>7</w:t>
      </w:r>
      <w:r w:rsidRPr="00B001EC">
        <w:rPr>
          <w:rFonts w:ascii="Arial" w:hAnsi="Arial" w:cs="Arial"/>
          <w:noProof/>
          <w:sz w:val="22"/>
        </w:rPr>
        <w:t>:119–122.</w:t>
      </w:r>
    </w:p>
    <w:p w14:paraId="7BE3C1EB"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14.</w:t>
      </w:r>
      <w:r w:rsidRPr="00B001EC">
        <w:rPr>
          <w:rFonts w:ascii="Arial" w:hAnsi="Arial" w:cs="Arial"/>
          <w:noProof/>
          <w:sz w:val="22"/>
        </w:rPr>
        <w:tab/>
      </w:r>
      <w:r w:rsidRPr="00B001EC">
        <w:rPr>
          <w:rFonts w:ascii="Arial" w:hAnsi="Arial" w:cs="Arial"/>
          <w:smallCaps/>
          <w:noProof/>
          <w:sz w:val="22"/>
        </w:rPr>
        <w:t>Vermetten</w:t>
      </w:r>
      <w:r w:rsidRPr="00B001EC">
        <w:rPr>
          <w:rFonts w:ascii="Arial" w:hAnsi="Arial" w:cs="Arial"/>
          <w:noProof/>
          <w:sz w:val="22"/>
        </w:rPr>
        <w:t xml:space="preserve"> E, </w:t>
      </w:r>
      <w:r w:rsidRPr="00B001EC">
        <w:rPr>
          <w:rFonts w:ascii="Arial" w:hAnsi="Arial" w:cs="Arial"/>
          <w:smallCaps/>
          <w:noProof/>
          <w:sz w:val="22"/>
        </w:rPr>
        <w:t>Schmahl</w:t>
      </w:r>
      <w:r w:rsidRPr="00B001EC">
        <w:rPr>
          <w:rFonts w:ascii="Arial" w:hAnsi="Arial" w:cs="Arial"/>
          <w:noProof/>
          <w:sz w:val="22"/>
        </w:rPr>
        <w:t xml:space="preserve"> C, </w:t>
      </w:r>
      <w:r w:rsidRPr="00B001EC">
        <w:rPr>
          <w:rFonts w:ascii="Arial" w:hAnsi="Arial" w:cs="Arial"/>
          <w:smallCaps/>
          <w:noProof/>
          <w:sz w:val="22"/>
        </w:rPr>
        <w:t>Lindner</w:t>
      </w:r>
      <w:r w:rsidRPr="00B001EC">
        <w:rPr>
          <w:rFonts w:ascii="Arial" w:hAnsi="Arial" w:cs="Arial"/>
          <w:noProof/>
          <w:sz w:val="22"/>
        </w:rPr>
        <w:t xml:space="preserve"> S, </w:t>
      </w:r>
      <w:r w:rsidRPr="00B001EC">
        <w:rPr>
          <w:rFonts w:ascii="Arial" w:hAnsi="Arial" w:cs="Arial"/>
          <w:smallCaps/>
          <w:noProof/>
          <w:sz w:val="22"/>
        </w:rPr>
        <w:t>Loewenstein</w:t>
      </w:r>
      <w:r w:rsidRPr="00B001EC">
        <w:rPr>
          <w:rFonts w:ascii="Arial" w:hAnsi="Arial" w:cs="Arial"/>
          <w:noProof/>
          <w:sz w:val="22"/>
        </w:rPr>
        <w:t xml:space="preserve"> RJ, </w:t>
      </w:r>
      <w:r w:rsidRPr="00B001EC">
        <w:rPr>
          <w:rFonts w:ascii="Arial" w:hAnsi="Arial" w:cs="Arial"/>
          <w:smallCaps/>
          <w:noProof/>
          <w:sz w:val="22"/>
        </w:rPr>
        <w:t>Bremner</w:t>
      </w:r>
      <w:r w:rsidRPr="00B001EC">
        <w:rPr>
          <w:rFonts w:ascii="Arial" w:hAnsi="Arial" w:cs="Arial"/>
          <w:noProof/>
          <w:sz w:val="22"/>
        </w:rPr>
        <w:t xml:space="preserve"> JD. Hippocampal and amygdalar volumes in dissociative identity disorder. Am J Psychiatry 2006;</w:t>
      </w:r>
      <w:r w:rsidRPr="00B001EC">
        <w:rPr>
          <w:rFonts w:ascii="Arial" w:hAnsi="Arial" w:cs="Arial"/>
          <w:b/>
          <w:bCs/>
          <w:noProof/>
          <w:sz w:val="22"/>
        </w:rPr>
        <w:t>163</w:t>
      </w:r>
      <w:r w:rsidRPr="00B001EC">
        <w:rPr>
          <w:rFonts w:ascii="Arial" w:hAnsi="Arial" w:cs="Arial"/>
          <w:noProof/>
          <w:sz w:val="22"/>
        </w:rPr>
        <w:t>:630–636.</w:t>
      </w:r>
    </w:p>
    <w:p w14:paraId="6B93540C"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lastRenderedPageBreak/>
        <w:t>15.</w:t>
      </w:r>
      <w:r w:rsidRPr="00B001EC">
        <w:rPr>
          <w:rFonts w:ascii="Arial" w:hAnsi="Arial" w:cs="Arial"/>
          <w:noProof/>
          <w:sz w:val="22"/>
        </w:rPr>
        <w:tab/>
      </w:r>
      <w:r w:rsidRPr="00B001EC">
        <w:rPr>
          <w:rFonts w:ascii="Arial" w:hAnsi="Arial" w:cs="Arial"/>
          <w:smallCaps/>
          <w:noProof/>
          <w:sz w:val="22"/>
        </w:rPr>
        <w:t>Ehling</w:t>
      </w:r>
      <w:r w:rsidRPr="00B001EC">
        <w:rPr>
          <w:rFonts w:ascii="Arial" w:hAnsi="Arial" w:cs="Arial"/>
          <w:noProof/>
          <w:sz w:val="22"/>
        </w:rPr>
        <w:t xml:space="preserve"> T, </w:t>
      </w:r>
      <w:r w:rsidRPr="00B001EC">
        <w:rPr>
          <w:rFonts w:ascii="Arial" w:hAnsi="Arial" w:cs="Arial"/>
          <w:smallCaps/>
          <w:noProof/>
          <w:sz w:val="22"/>
        </w:rPr>
        <w:t>Nijenhuis</w:t>
      </w:r>
      <w:r w:rsidRPr="00B001EC">
        <w:rPr>
          <w:rFonts w:ascii="Arial" w:hAnsi="Arial" w:cs="Arial"/>
          <w:noProof/>
          <w:sz w:val="22"/>
        </w:rPr>
        <w:t xml:space="preserve"> ERS, </w:t>
      </w:r>
      <w:r w:rsidRPr="00B001EC">
        <w:rPr>
          <w:rFonts w:ascii="Arial" w:hAnsi="Arial" w:cs="Arial"/>
          <w:smallCaps/>
          <w:noProof/>
          <w:sz w:val="22"/>
        </w:rPr>
        <w:t>Krikke</w:t>
      </w:r>
      <w:r w:rsidRPr="00B001EC">
        <w:rPr>
          <w:rFonts w:ascii="Arial" w:hAnsi="Arial" w:cs="Arial"/>
          <w:noProof/>
          <w:sz w:val="22"/>
        </w:rPr>
        <w:t xml:space="preserve"> AP. Volume of discrete brain structures in complex dissociative disorders: preliminary findings. Prog Brain Res 2008;</w:t>
      </w:r>
      <w:r w:rsidRPr="00B001EC">
        <w:rPr>
          <w:rFonts w:ascii="Arial" w:hAnsi="Arial" w:cs="Arial"/>
          <w:b/>
          <w:bCs/>
          <w:noProof/>
          <w:sz w:val="22"/>
        </w:rPr>
        <w:t>167</w:t>
      </w:r>
      <w:r w:rsidRPr="00B001EC">
        <w:rPr>
          <w:rFonts w:ascii="Arial" w:hAnsi="Arial" w:cs="Arial"/>
          <w:noProof/>
          <w:sz w:val="22"/>
        </w:rPr>
        <w:t>:307–310.</w:t>
      </w:r>
    </w:p>
    <w:p w14:paraId="0E0C4C5E"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16.</w:t>
      </w:r>
      <w:r w:rsidRPr="00B001EC">
        <w:rPr>
          <w:rFonts w:ascii="Arial" w:hAnsi="Arial" w:cs="Arial"/>
          <w:noProof/>
          <w:sz w:val="22"/>
        </w:rPr>
        <w:tab/>
      </w:r>
      <w:r w:rsidRPr="00B001EC">
        <w:rPr>
          <w:rFonts w:ascii="Arial" w:hAnsi="Arial" w:cs="Arial"/>
          <w:smallCaps/>
          <w:noProof/>
          <w:sz w:val="22"/>
        </w:rPr>
        <w:t>Reinders</w:t>
      </w:r>
      <w:r w:rsidRPr="00B001EC">
        <w:rPr>
          <w:rFonts w:ascii="Arial" w:hAnsi="Arial" w:cs="Arial"/>
          <w:noProof/>
          <w:sz w:val="22"/>
        </w:rPr>
        <w:t xml:space="preserve"> AATS, </w:t>
      </w:r>
      <w:r w:rsidRPr="00B001EC">
        <w:rPr>
          <w:rFonts w:ascii="Arial" w:hAnsi="Arial" w:cs="Arial"/>
          <w:smallCaps/>
          <w:noProof/>
          <w:sz w:val="22"/>
        </w:rPr>
        <w:t>Willemsen</w:t>
      </w:r>
      <w:r w:rsidRPr="00B001EC">
        <w:rPr>
          <w:rFonts w:ascii="Arial" w:hAnsi="Arial" w:cs="Arial"/>
          <w:noProof/>
          <w:sz w:val="22"/>
        </w:rPr>
        <w:t xml:space="preserve"> ATM, </w:t>
      </w:r>
      <w:r w:rsidRPr="00B001EC">
        <w:rPr>
          <w:rFonts w:ascii="Arial" w:hAnsi="Arial" w:cs="Arial"/>
          <w:smallCaps/>
          <w:noProof/>
          <w:sz w:val="22"/>
        </w:rPr>
        <w:t>den</w:t>
      </w:r>
      <w:r w:rsidRPr="00B001EC">
        <w:rPr>
          <w:rFonts w:ascii="Arial" w:hAnsi="Arial" w:cs="Arial"/>
          <w:noProof/>
          <w:sz w:val="22"/>
        </w:rPr>
        <w:t xml:space="preserve"> </w:t>
      </w:r>
      <w:r w:rsidRPr="00B001EC">
        <w:rPr>
          <w:rFonts w:ascii="Arial" w:hAnsi="Arial" w:cs="Arial"/>
          <w:smallCaps/>
          <w:noProof/>
          <w:sz w:val="22"/>
        </w:rPr>
        <w:t>Boer</w:t>
      </w:r>
      <w:r w:rsidRPr="00B001EC">
        <w:rPr>
          <w:rFonts w:ascii="Arial" w:hAnsi="Arial" w:cs="Arial"/>
          <w:noProof/>
          <w:sz w:val="22"/>
        </w:rPr>
        <w:t xml:space="preserve"> JA, </w:t>
      </w:r>
      <w:r w:rsidRPr="00B001EC">
        <w:rPr>
          <w:rFonts w:ascii="Arial" w:hAnsi="Arial" w:cs="Arial"/>
          <w:smallCaps/>
          <w:noProof/>
          <w:sz w:val="22"/>
        </w:rPr>
        <w:t>Vos</w:t>
      </w:r>
      <w:r w:rsidRPr="00B001EC">
        <w:rPr>
          <w:rFonts w:ascii="Arial" w:hAnsi="Arial" w:cs="Arial"/>
          <w:noProof/>
          <w:sz w:val="22"/>
        </w:rPr>
        <w:t xml:space="preserve"> HPJ, </w:t>
      </w:r>
      <w:r w:rsidRPr="00B001EC">
        <w:rPr>
          <w:rFonts w:ascii="Arial" w:hAnsi="Arial" w:cs="Arial"/>
          <w:smallCaps/>
          <w:noProof/>
          <w:sz w:val="22"/>
        </w:rPr>
        <w:t>Veltman</w:t>
      </w:r>
      <w:r w:rsidRPr="00B001EC">
        <w:rPr>
          <w:rFonts w:ascii="Arial" w:hAnsi="Arial" w:cs="Arial"/>
          <w:noProof/>
          <w:sz w:val="22"/>
        </w:rPr>
        <w:t xml:space="preserve"> DJ, </w:t>
      </w:r>
      <w:r w:rsidRPr="00B001EC">
        <w:rPr>
          <w:rFonts w:ascii="Arial" w:hAnsi="Arial" w:cs="Arial"/>
          <w:smallCaps/>
          <w:noProof/>
          <w:sz w:val="22"/>
        </w:rPr>
        <w:t>Loewenstein</w:t>
      </w:r>
      <w:r w:rsidRPr="00B001EC">
        <w:rPr>
          <w:rFonts w:ascii="Arial" w:hAnsi="Arial" w:cs="Arial"/>
          <w:noProof/>
          <w:sz w:val="22"/>
        </w:rPr>
        <w:t xml:space="preserve"> RJ. Opposite brain emotion-regulation patterns in identity states of dissociative identity disorder: A PET study and neurobiological model. Psychiatry Res Neuroimaging 2014;</w:t>
      </w:r>
      <w:r w:rsidRPr="00B001EC">
        <w:rPr>
          <w:rFonts w:ascii="Arial" w:hAnsi="Arial" w:cs="Arial"/>
          <w:b/>
          <w:bCs/>
          <w:noProof/>
          <w:sz w:val="22"/>
        </w:rPr>
        <w:t>223</w:t>
      </w:r>
      <w:r w:rsidRPr="00B001EC">
        <w:rPr>
          <w:rFonts w:ascii="Arial" w:hAnsi="Arial" w:cs="Arial"/>
          <w:noProof/>
          <w:sz w:val="22"/>
        </w:rPr>
        <w:t>:236–243.</w:t>
      </w:r>
    </w:p>
    <w:p w14:paraId="08DA7D4E"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17.</w:t>
      </w:r>
      <w:r w:rsidRPr="00B001EC">
        <w:rPr>
          <w:rFonts w:ascii="Arial" w:hAnsi="Arial" w:cs="Arial"/>
          <w:noProof/>
          <w:sz w:val="22"/>
        </w:rPr>
        <w:tab/>
      </w:r>
      <w:r w:rsidRPr="00B001EC">
        <w:rPr>
          <w:rFonts w:ascii="Arial" w:hAnsi="Arial" w:cs="Arial"/>
          <w:smallCaps/>
          <w:noProof/>
          <w:sz w:val="22"/>
        </w:rPr>
        <w:t>Reinders</w:t>
      </w:r>
      <w:r w:rsidRPr="00B001EC">
        <w:rPr>
          <w:rFonts w:ascii="Arial" w:hAnsi="Arial" w:cs="Arial"/>
          <w:noProof/>
          <w:sz w:val="22"/>
        </w:rPr>
        <w:t xml:space="preserve"> AATS, </w:t>
      </w:r>
      <w:r w:rsidRPr="00B001EC">
        <w:rPr>
          <w:rFonts w:ascii="Arial" w:hAnsi="Arial" w:cs="Arial"/>
          <w:smallCaps/>
          <w:noProof/>
          <w:sz w:val="22"/>
        </w:rPr>
        <w:t>Willemsen</w:t>
      </w:r>
      <w:r w:rsidRPr="00B001EC">
        <w:rPr>
          <w:rFonts w:ascii="Arial" w:hAnsi="Arial" w:cs="Arial"/>
          <w:noProof/>
          <w:sz w:val="22"/>
        </w:rPr>
        <w:t xml:space="preserve"> ATM, </w:t>
      </w:r>
      <w:r w:rsidRPr="00B001EC">
        <w:rPr>
          <w:rFonts w:ascii="Arial" w:hAnsi="Arial" w:cs="Arial"/>
          <w:smallCaps/>
          <w:noProof/>
          <w:sz w:val="22"/>
        </w:rPr>
        <w:t>Vissia</w:t>
      </w:r>
      <w:r w:rsidRPr="00B001EC">
        <w:rPr>
          <w:rFonts w:ascii="Arial" w:hAnsi="Arial" w:cs="Arial"/>
          <w:noProof/>
          <w:sz w:val="22"/>
        </w:rPr>
        <w:t xml:space="preserve"> EM, </w:t>
      </w:r>
      <w:r w:rsidRPr="00B001EC">
        <w:rPr>
          <w:rFonts w:ascii="Arial" w:hAnsi="Arial" w:cs="Arial"/>
          <w:smallCaps/>
          <w:noProof/>
          <w:sz w:val="22"/>
        </w:rPr>
        <w:t>Vos</w:t>
      </w:r>
      <w:r w:rsidRPr="00B001EC">
        <w:rPr>
          <w:rFonts w:ascii="Arial" w:hAnsi="Arial" w:cs="Arial"/>
          <w:noProof/>
          <w:sz w:val="22"/>
        </w:rPr>
        <w:t xml:space="preserve"> HPJ, </w:t>
      </w:r>
      <w:r w:rsidRPr="00B001EC">
        <w:rPr>
          <w:rFonts w:ascii="Arial" w:hAnsi="Arial" w:cs="Arial"/>
          <w:smallCaps/>
          <w:noProof/>
          <w:sz w:val="22"/>
        </w:rPr>
        <w:t>den</w:t>
      </w:r>
      <w:r w:rsidRPr="00B001EC">
        <w:rPr>
          <w:rFonts w:ascii="Arial" w:hAnsi="Arial" w:cs="Arial"/>
          <w:noProof/>
          <w:sz w:val="22"/>
        </w:rPr>
        <w:t xml:space="preserve"> </w:t>
      </w:r>
      <w:r w:rsidRPr="00B001EC">
        <w:rPr>
          <w:rFonts w:ascii="Arial" w:hAnsi="Arial" w:cs="Arial"/>
          <w:smallCaps/>
          <w:noProof/>
          <w:sz w:val="22"/>
        </w:rPr>
        <w:t>Boer</w:t>
      </w:r>
      <w:r w:rsidRPr="00B001EC">
        <w:rPr>
          <w:rFonts w:ascii="Arial" w:hAnsi="Arial" w:cs="Arial"/>
          <w:noProof/>
          <w:sz w:val="22"/>
        </w:rPr>
        <w:t xml:space="preserve"> JA, </w:t>
      </w:r>
      <w:r w:rsidRPr="00B001EC">
        <w:rPr>
          <w:rFonts w:ascii="Arial" w:hAnsi="Arial" w:cs="Arial"/>
          <w:smallCaps/>
          <w:noProof/>
          <w:sz w:val="22"/>
        </w:rPr>
        <w:t>Nijenhuis</w:t>
      </w:r>
      <w:r w:rsidRPr="00B001EC">
        <w:rPr>
          <w:rFonts w:ascii="Arial" w:hAnsi="Arial" w:cs="Arial"/>
          <w:noProof/>
          <w:sz w:val="22"/>
        </w:rPr>
        <w:t xml:space="preserve"> ERS. The Psychobiology of Authentic and Simulated Dissociative Personality States: The Full Monty. J Nerv Ment Dis 2016;</w:t>
      </w:r>
      <w:r w:rsidRPr="00B001EC">
        <w:rPr>
          <w:rFonts w:ascii="Arial" w:hAnsi="Arial" w:cs="Arial"/>
          <w:b/>
          <w:bCs/>
          <w:noProof/>
          <w:sz w:val="22"/>
        </w:rPr>
        <w:t>204</w:t>
      </w:r>
      <w:r w:rsidRPr="00B001EC">
        <w:rPr>
          <w:rFonts w:ascii="Arial" w:hAnsi="Arial" w:cs="Arial"/>
          <w:noProof/>
          <w:sz w:val="22"/>
        </w:rPr>
        <w:t>:445–457.</w:t>
      </w:r>
    </w:p>
    <w:p w14:paraId="4105D3EE"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18.</w:t>
      </w:r>
      <w:r w:rsidRPr="00B001EC">
        <w:rPr>
          <w:rFonts w:ascii="Arial" w:hAnsi="Arial" w:cs="Arial"/>
          <w:noProof/>
          <w:sz w:val="22"/>
        </w:rPr>
        <w:tab/>
      </w:r>
      <w:r w:rsidRPr="00B001EC">
        <w:rPr>
          <w:rFonts w:ascii="Arial" w:hAnsi="Arial" w:cs="Arial"/>
          <w:smallCaps/>
          <w:noProof/>
          <w:sz w:val="22"/>
        </w:rPr>
        <w:t>Geschwind</w:t>
      </w:r>
      <w:r w:rsidRPr="00B001EC">
        <w:rPr>
          <w:rFonts w:ascii="Arial" w:hAnsi="Arial" w:cs="Arial"/>
          <w:noProof/>
          <w:sz w:val="22"/>
        </w:rPr>
        <w:t xml:space="preserve"> DH, </w:t>
      </w:r>
      <w:r w:rsidRPr="00B001EC">
        <w:rPr>
          <w:rFonts w:ascii="Arial" w:hAnsi="Arial" w:cs="Arial"/>
          <w:smallCaps/>
          <w:noProof/>
          <w:sz w:val="22"/>
        </w:rPr>
        <w:t>Rakic</w:t>
      </w:r>
      <w:r w:rsidRPr="00B001EC">
        <w:rPr>
          <w:rFonts w:ascii="Arial" w:hAnsi="Arial" w:cs="Arial"/>
          <w:noProof/>
          <w:sz w:val="22"/>
        </w:rPr>
        <w:t xml:space="preserve"> P. Cortical evolution: judge the brain by its cover. Neuron 2013;</w:t>
      </w:r>
      <w:r w:rsidRPr="00B001EC">
        <w:rPr>
          <w:rFonts w:ascii="Arial" w:hAnsi="Arial" w:cs="Arial"/>
          <w:b/>
          <w:bCs/>
          <w:noProof/>
          <w:sz w:val="22"/>
        </w:rPr>
        <w:t>80</w:t>
      </w:r>
      <w:r w:rsidRPr="00B001EC">
        <w:rPr>
          <w:rFonts w:ascii="Arial" w:hAnsi="Arial" w:cs="Arial"/>
          <w:noProof/>
          <w:sz w:val="22"/>
        </w:rPr>
        <w:t>:633–647.</w:t>
      </w:r>
    </w:p>
    <w:p w14:paraId="17A02CF3"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19.</w:t>
      </w:r>
      <w:r w:rsidRPr="00B001EC">
        <w:rPr>
          <w:rFonts w:ascii="Arial" w:hAnsi="Arial" w:cs="Arial"/>
          <w:noProof/>
          <w:sz w:val="22"/>
        </w:rPr>
        <w:tab/>
      </w:r>
      <w:r w:rsidRPr="00B001EC">
        <w:rPr>
          <w:rFonts w:ascii="Arial" w:hAnsi="Arial" w:cs="Arial"/>
          <w:smallCaps/>
          <w:noProof/>
          <w:sz w:val="22"/>
        </w:rPr>
        <w:t>Panizzon</w:t>
      </w:r>
      <w:r w:rsidRPr="00B001EC">
        <w:rPr>
          <w:rFonts w:ascii="Arial" w:hAnsi="Arial" w:cs="Arial"/>
          <w:noProof/>
          <w:sz w:val="22"/>
        </w:rPr>
        <w:t xml:space="preserve"> MS, </w:t>
      </w:r>
      <w:r w:rsidRPr="00B001EC">
        <w:rPr>
          <w:rFonts w:ascii="Arial" w:hAnsi="Arial" w:cs="Arial"/>
          <w:smallCaps/>
          <w:noProof/>
          <w:sz w:val="22"/>
        </w:rPr>
        <w:t>Fennema-Notestine</w:t>
      </w:r>
      <w:r w:rsidRPr="00B001EC">
        <w:rPr>
          <w:rFonts w:ascii="Arial" w:hAnsi="Arial" w:cs="Arial"/>
          <w:noProof/>
          <w:sz w:val="22"/>
        </w:rPr>
        <w:t xml:space="preserve"> C, </w:t>
      </w:r>
      <w:r w:rsidRPr="00B001EC">
        <w:rPr>
          <w:rFonts w:ascii="Arial" w:hAnsi="Arial" w:cs="Arial"/>
          <w:smallCaps/>
          <w:noProof/>
          <w:sz w:val="22"/>
        </w:rPr>
        <w:t>Eyler</w:t>
      </w:r>
      <w:r w:rsidRPr="00B001EC">
        <w:rPr>
          <w:rFonts w:ascii="Arial" w:hAnsi="Arial" w:cs="Arial"/>
          <w:noProof/>
          <w:sz w:val="22"/>
        </w:rPr>
        <w:t xml:space="preserve"> LT et al. Distinct genetic influences on cortical surface area and cortical thickness. Cereb Cortex 2009;</w:t>
      </w:r>
      <w:r w:rsidRPr="00B001EC">
        <w:rPr>
          <w:rFonts w:ascii="Arial" w:hAnsi="Arial" w:cs="Arial"/>
          <w:b/>
          <w:bCs/>
          <w:noProof/>
          <w:sz w:val="22"/>
        </w:rPr>
        <w:t>19</w:t>
      </w:r>
      <w:r w:rsidRPr="00B001EC">
        <w:rPr>
          <w:rFonts w:ascii="Arial" w:hAnsi="Arial" w:cs="Arial"/>
          <w:noProof/>
          <w:sz w:val="22"/>
        </w:rPr>
        <w:t>:2728–2735.</w:t>
      </w:r>
    </w:p>
    <w:p w14:paraId="76E937CC"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20.</w:t>
      </w:r>
      <w:r w:rsidRPr="00B001EC">
        <w:rPr>
          <w:rFonts w:ascii="Arial" w:hAnsi="Arial" w:cs="Arial"/>
          <w:noProof/>
          <w:sz w:val="22"/>
        </w:rPr>
        <w:tab/>
      </w:r>
      <w:r w:rsidRPr="00B001EC">
        <w:rPr>
          <w:rFonts w:ascii="Arial" w:hAnsi="Arial" w:cs="Arial"/>
          <w:smallCaps/>
          <w:noProof/>
          <w:sz w:val="22"/>
        </w:rPr>
        <w:t>Rakic</w:t>
      </w:r>
      <w:r w:rsidRPr="00B001EC">
        <w:rPr>
          <w:rFonts w:ascii="Arial" w:hAnsi="Arial" w:cs="Arial"/>
          <w:noProof/>
          <w:sz w:val="22"/>
        </w:rPr>
        <w:t xml:space="preserve"> P. Specification of cerebral cortical areas. Science 1988;</w:t>
      </w:r>
      <w:r w:rsidRPr="00B001EC">
        <w:rPr>
          <w:rFonts w:ascii="Arial" w:hAnsi="Arial" w:cs="Arial"/>
          <w:b/>
          <w:bCs/>
          <w:noProof/>
          <w:sz w:val="22"/>
        </w:rPr>
        <w:t>241</w:t>
      </w:r>
      <w:r w:rsidRPr="00B001EC">
        <w:rPr>
          <w:rFonts w:ascii="Arial" w:hAnsi="Arial" w:cs="Arial"/>
          <w:noProof/>
          <w:sz w:val="22"/>
        </w:rPr>
        <w:t>:170–176.</w:t>
      </w:r>
    </w:p>
    <w:p w14:paraId="6C0E7EEC"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21.</w:t>
      </w:r>
      <w:r w:rsidRPr="00B001EC">
        <w:rPr>
          <w:rFonts w:ascii="Arial" w:hAnsi="Arial" w:cs="Arial"/>
          <w:noProof/>
          <w:sz w:val="22"/>
        </w:rPr>
        <w:tab/>
      </w:r>
      <w:r w:rsidRPr="00B001EC">
        <w:rPr>
          <w:rFonts w:ascii="Arial" w:hAnsi="Arial" w:cs="Arial"/>
          <w:smallCaps/>
          <w:noProof/>
          <w:sz w:val="22"/>
        </w:rPr>
        <w:t>Ecker</w:t>
      </w:r>
      <w:r w:rsidRPr="00B001EC">
        <w:rPr>
          <w:rFonts w:ascii="Arial" w:hAnsi="Arial" w:cs="Arial"/>
          <w:noProof/>
          <w:sz w:val="22"/>
        </w:rPr>
        <w:t xml:space="preserve"> C, </w:t>
      </w:r>
      <w:r w:rsidRPr="00B001EC">
        <w:rPr>
          <w:rFonts w:ascii="Arial" w:hAnsi="Arial" w:cs="Arial"/>
          <w:smallCaps/>
          <w:noProof/>
          <w:sz w:val="22"/>
        </w:rPr>
        <w:t>Shahidiani</w:t>
      </w:r>
      <w:r w:rsidRPr="00B001EC">
        <w:rPr>
          <w:rFonts w:ascii="Arial" w:hAnsi="Arial" w:cs="Arial"/>
          <w:noProof/>
          <w:sz w:val="22"/>
        </w:rPr>
        <w:t xml:space="preserve"> A, </w:t>
      </w:r>
      <w:r w:rsidRPr="00B001EC">
        <w:rPr>
          <w:rFonts w:ascii="Arial" w:hAnsi="Arial" w:cs="Arial"/>
          <w:smallCaps/>
          <w:noProof/>
          <w:sz w:val="22"/>
        </w:rPr>
        <w:t>Feng</w:t>
      </w:r>
      <w:r w:rsidRPr="00B001EC">
        <w:rPr>
          <w:rFonts w:ascii="Arial" w:hAnsi="Arial" w:cs="Arial"/>
          <w:noProof/>
          <w:sz w:val="22"/>
        </w:rPr>
        <w:t xml:space="preserve"> Y et al. The effect of age, diagnosis, and their interaction on vertex-based measures of cortical thickness and surface area in autism spectrum disorder. J Neural Transm 2014;</w:t>
      </w:r>
      <w:r w:rsidRPr="00B001EC">
        <w:rPr>
          <w:rFonts w:ascii="Arial" w:hAnsi="Arial" w:cs="Arial"/>
          <w:b/>
          <w:bCs/>
          <w:noProof/>
          <w:sz w:val="22"/>
        </w:rPr>
        <w:t>121</w:t>
      </w:r>
      <w:r w:rsidRPr="00B001EC">
        <w:rPr>
          <w:rFonts w:ascii="Arial" w:hAnsi="Arial" w:cs="Arial"/>
          <w:noProof/>
          <w:sz w:val="22"/>
        </w:rPr>
        <w:t>:1157–1170.</w:t>
      </w:r>
    </w:p>
    <w:p w14:paraId="032820A5"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22.</w:t>
      </w:r>
      <w:r w:rsidRPr="00B001EC">
        <w:rPr>
          <w:rFonts w:ascii="Arial" w:hAnsi="Arial" w:cs="Arial"/>
          <w:noProof/>
          <w:sz w:val="22"/>
        </w:rPr>
        <w:tab/>
      </w:r>
      <w:r w:rsidRPr="00B001EC">
        <w:rPr>
          <w:rFonts w:ascii="Arial" w:hAnsi="Arial" w:cs="Arial"/>
          <w:smallCaps/>
          <w:noProof/>
          <w:sz w:val="22"/>
        </w:rPr>
        <w:t>Nardo</w:t>
      </w:r>
      <w:r w:rsidRPr="00B001EC">
        <w:rPr>
          <w:rFonts w:ascii="Arial" w:hAnsi="Arial" w:cs="Arial"/>
          <w:noProof/>
          <w:sz w:val="22"/>
        </w:rPr>
        <w:t xml:space="preserve"> D, </w:t>
      </w:r>
      <w:r w:rsidRPr="00B001EC">
        <w:rPr>
          <w:rFonts w:ascii="Arial" w:hAnsi="Arial" w:cs="Arial"/>
          <w:smallCaps/>
          <w:noProof/>
          <w:sz w:val="22"/>
        </w:rPr>
        <w:t>Högberg</w:t>
      </w:r>
      <w:r w:rsidRPr="00B001EC">
        <w:rPr>
          <w:rFonts w:ascii="Arial" w:hAnsi="Arial" w:cs="Arial"/>
          <w:noProof/>
          <w:sz w:val="22"/>
        </w:rPr>
        <w:t xml:space="preserve"> G, </w:t>
      </w:r>
      <w:r w:rsidRPr="00B001EC">
        <w:rPr>
          <w:rFonts w:ascii="Arial" w:hAnsi="Arial" w:cs="Arial"/>
          <w:smallCaps/>
          <w:noProof/>
          <w:sz w:val="22"/>
        </w:rPr>
        <w:t>Looi</w:t>
      </w:r>
      <w:r w:rsidRPr="00B001EC">
        <w:rPr>
          <w:rFonts w:ascii="Arial" w:hAnsi="Arial" w:cs="Arial"/>
          <w:noProof/>
          <w:sz w:val="22"/>
        </w:rPr>
        <w:t xml:space="preserve"> JCL, </w:t>
      </w:r>
      <w:r w:rsidRPr="00B001EC">
        <w:rPr>
          <w:rFonts w:ascii="Arial" w:hAnsi="Arial" w:cs="Arial"/>
          <w:smallCaps/>
          <w:noProof/>
          <w:sz w:val="22"/>
        </w:rPr>
        <w:t>Larsson</w:t>
      </w:r>
      <w:r w:rsidRPr="00B001EC">
        <w:rPr>
          <w:rFonts w:ascii="Arial" w:hAnsi="Arial" w:cs="Arial"/>
          <w:noProof/>
          <w:sz w:val="22"/>
        </w:rPr>
        <w:t xml:space="preserve"> S, </w:t>
      </w:r>
      <w:r w:rsidRPr="00B001EC">
        <w:rPr>
          <w:rFonts w:ascii="Arial" w:hAnsi="Arial" w:cs="Arial"/>
          <w:smallCaps/>
          <w:noProof/>
          <w:sz w:val="22"/>
        </w:rPr>
        <w:t>Hällström</w:t>
      </w:r>
      <w:r w:rsidRPr="00B001EC">
        <w:rPr>
          <w:rFonts w:ascii="Arial" w:hAnsi="Arial" w:cs="Arial"/>
          <w:noProof/>
          <w:sz w:val="22"/>
        </w:rPr>
        <w:t xml:space="preserve"> T, </w:t>
      </w:r>
      <w:r w:rsidRPr="00B001EC">
        <w:rPr>
          <w:rFonts w:ascii="Arial" w:hAnsi="Arial" w:cs="Arial"/>
          <w:smallCaps/>
          <w:noProof/>
          <w:sz w:val="22"/>
        </w:rPr>
        <w:t>Pagani</w:t>
      </w:r>
      <w:r w:rsidRPr="00B001EC">
        <w:rPr>
          <w:rFonts w:ascii="Arial" w:hAnsi="Arial" w:cs="Arial"/>
          <w:noProof/>
          <w:sz w:val="22"/>
        </w:rPr>
        <w:t xml:space="preserve"> M. Gray matter density in limbic and paralimbic cortices is associated with trauma load and EMDR outcome in PTSD patients. J Psychiatr Res 2010;</w:t>
      </w:r>
      <w:r w:rsidRPr="00B001EC">
        <w:rPr>
          <w:rFonts w:ascii="Arial" w:hAnsi="Arial" w:cs="Arial"/>
          <w:b/>
          <w:bCs/>
          <w:noProof/>
          <w:sz w:val="22"/>
        </w:rPr>
        <w:t>44</w:t>
      </w:r>
      <w:r w:rsidRPr="00B001EC">
        <w:rPr>
          <w:rFonts w:ascii="Arial" w:hAnsi="Arial" w:cs="Arial"/>
          <w:noProof/>
          <w:sz w:val="22"/>
        </w:rPr>
        <w:t>:477–485.</w:t>
      </w:r>
    </w:p>
    <w:p w14:paraId="357905A0"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23.</w:t>
      </w:r>
      <w:r w:rsidRPr="00B001EC">
        <w:rPr>
          <w:rFonts w:ascii="Arial" w:hAnsi="Arial" w:cs="Arial"/>
          <w:noProof/>
          <w:sz w:val="22"/>
        </w:rPr>
        <w:tab/>
      </w:r>
      <w:r w:rsidRPr="00B001EC">
        <w:rPr>
          <w:rFonts w:ascii="Arial" w:hAnsi="Arial" w:cs="Arial"/>
          <w:smallCaps/>
          <w:noProof/>
          <w:sz w:val="22"/>
        </w:rPr>
        <w:t>Daniels</w:t>
      </w:r>
      <w:r w:rsidRPr="00B001EC">
        <w:rPr>
          <w:rFonts w:ascii="Arial" w:hAnsi="Arial" w:cs="Arial"/>
          <w:noProof/>
          <w:sz w:val="22"/>
        </w:rPr>
        <w:t xml:space="preserve"> JK, </w:t>
      </w:r>
      <w:r w:rsidRPr="00B001EC">
        <w:rPr>
          <w:rFonts w:ascii="Arial" w:hAnsi="Arial" w:cs="Arial"/>
          <w:smallCaps/>
          <w:noProof/>
          <w:sz w:val="22"/>
        </w:rPr>
        <w:t>Frewen</w:t>
      </w:r>
      <w:r w:rsidRPr="00B001EC">
        <w:rPr>
          <w:rFonts w:ascii="Arial" w:hAnsi="Arial" w:cs="Arial"/>
          <w:noProof/>
          <w:sz w:val="22"/>
        </w:rPr>
        <w:t xml:space="preserve"> P, </w:t>
      </w:r>
      <w:r w:rsidRPr="00B001EC">
        <w:rPr>
          <w:rFonts w:ascii="Arial" w:hAnsi="Arial" w:cs="Arial"/>
          <w:smallCaps/>
          <w:noProof/>
          <w:sz w:val="22"/>
        </w:rPr>
        <w:t>Theberge</w:t>
      </w:r>
      <w:r w:rsidRPr="00B001EC">
        <w:rPr>
          <w:rFonts w:ascii="Arial" w:hAnsi="Arial" w:cs="Arial"/>
          <w:noProof/>
          <w:sz w:val="22"/>
        </w:rPr>
        <w:t xml:space="preserve"> J, </w:t>
      </w:r>
      <w:r w:rsidRPr="00B001EC">
        <w:rPr>
          <w:rFonts w:ascii="Arial" w:hAnsi="Arial" w:cs="Arial"/>
          <w:smallCaps/>
          <w:noProof/>
          <w:sz w:val="22"/>
        </w:rPr>
        <w:t>Lanius</w:t>
      </w:r>
      <w:r w:rsidRPr="00B001EC">
        <w:rPr>
          <w:rFonts w:ascii="Arial" w:hAnsi="Arial" w:cs="Arial"/>
          <w:noProof/>
          <w:sz w:val="22"/>
        </w:rPr>
        <w:t xml:space="preserve"> RA. Structural brain aberrations associated with the dissociative subtype of post-traumatic stress disorder. Acta Psychiatr Scand Published Online First: 3 July 2015. doi:10.1111/acps.12464</w:t>
      </w:r>
    </w:p>
    <w:p w14:paraId="7ED9A0FE"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24.</w:t>
      </w:r>
      <w:r w:rsidRPr="00B001EC">
        <w:rPr>
          <w:rFonts w:ascii="Arial" w:hAnsi="Arial" w:cs="Arial"/>
          <w:noProof/>
          <w:sz w:val="22"/>
        </w:rPr>
        <w:tab/>
      </w:r>
      <w:r w:rsidRPr="00B001EC">
        <w:rPr>
          <w:rFonts w:ascii="Arial" w:hAnsi="Arial" w:cs="Arial"/>
          <w:smallCaps/>
          <w:noProof/>
          <w:sz w:val="22"/>
        </w:rPr>
        <w:t>Demers</w:t>
      </w:r>
      <w:r w:rsidRPr="00B001EC">
        <w:rPr>
          <w:rFonts w:ascii="Arial" w:hAnsi="Arial" w:cs="Arial"/>
          <w:noProof/>
          <w:sz w:val="22"/>
        </w:rPr>
        <w:t xml:space="preserve"> LA, </w:t>
      </w:r>
      <w:r w:rsidRPr="00B001EC">
        <w:rPr>
          <w:rFonts w:ascii="Arial" w:hAnsi="Arial" w:cs="Arial"/>
          <w:smallCaps/>
          <w:noProof/>
          <w:sz w:val="22"/>
        </w:rPr>
        <w:t>Olson</w:t>
      </w:r>
      <w:r w:rsidRPr="00B001EC">
        <w:rPr>
          <w:rFonts w:ascii="Arial" w:hAnsi="Arial" w:cs="Arial"/>
          <w:noProof/>
          <w:sz w:val="22"/>
        </w:rPr>
        <w:t xml:space="preserve"> EA, </w:t>
      </w:r>
      <w:r w:rsidRPr="00B001EC">
        <w:rPr>
          <w:rFonts w:ascii="Arial" w:hAnsi="Arial" w:cs="Arial"/>
          <w:smallCaps/>
          <w:noProof/>
          <w:sz w:val="22"/>
        </w:rPr>
        <w:t>Crowley</w:t>
      </w:r>
      <w:r w:rsidRPr="00B001EC">
        <w:rPr>
          <w:rFonts w:ascii="Arial" w:hAnsi="Arial" w:cs="Arial"/>
          <w:noProof/>
          <w:sz w:val="22"/>
        </w:rPr>
        <w:t xml:space="preserve"> DJ, </w:t>
      </w:r>
      <w:r w:rsidRPr="00B001EC">
        <w:rPr>
          <w:rFonts w:ascii="Arial" w:hAnsi="Arial" w:cs="Arial"/>
          <w:smallCaps/>
          <w:noProof/>
          <w:sz w:val="22"/>
        </w:rPr>
        <w:t>Rauch</w:t>
      </w:r>
      <w:r w:rsidRPr="00B001EC">
        <w:rPr>
          <w:rFonts w:ascii="Arial" w:hAnsi="Arial" w:cs="Arial"/>
          <w:noProof/>
          <w:sz w:val="22"/>
        </w:rPr>
        <w:t xml:space="preserve"> SL, </w:t>
      </w:r>
      <w:r w:rsidRPr="00B001EC">
        <w:rPr>
          <w:rFonts w:ascii="Arial" w:hAnsi="Arial" w:cs="Arial"/>
          <w:smallCaps/>
          <w:noProof/>
          <w:sz w:val="22"/>
        </w:rPr>
        <w:t>Rosso</w:t>
      </w:r>
      <w:r w:rsidRPr="00B001EC">
        <w:rPr>
          <w:rFonts w:ascii="Arial" w:hAnsi="Arial" w:cs="Arial"/>
          <w:noProof/>
          <w:sz w:val="22"/>
        </w:rPr>
        <w:t xml:space="preserve"> IM. Dorsal Anterior Cingulate Thickness Is Related to Alexithymia in Childhood Trauma-Related PTSD. PLoS One 2015;</w:t>
      </w:r>
      <w:r w:rsidRPr="00B001EC">
        <w:rPr>
          <w:rFonts w:ascii="Arial" w:hAnsi="Arial" w:cs="Arial"/>
          <w:b/>
          <w:bCs/>
          <w:noProof/>
          <w:sz w:val="22"/>
        </w:rPr>
        <w:t>10</w:t>
      </w:r>
      <w:r w:rsidRPr="00B001EC">
        <w:rPr>
          <w:rFonts w:ascii="Arial" w:hAnsi="Arial" w:cs="Arial"/>
          <w:noProof/>
          <w:sz w:val="22"/>
        </w:rPr>
        <w:t>:e0139807.</w:t>
      </w:r>
    </w:p>
    <w:p w14:paraId="7E022742"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25.</w:t>
      </w:r>
      <w:r w:rsidRPr="00B001EC">
        <w:rPr>
          <w:rFonts w:ascii="Arial" w:hAnsi="Arial" w:cs="Arial"/>
          <w:noProof/>
          <w:sz w:val="22"/>
        </w:rPr>
        <w:tab/>
      </w:r>
      <w:r w:rsidRPr="00B001EC">
        <w:rPr>
          <w:rFonts w:ascii="Arial" w:hAnsi="Arial" w:cs="Arial"/>
          <w:smallCaps/>
          <w:noProof/>
          <w:sz w:val="22"/>
        </w:rPr>
        <w:t>Schlumpf</w:t>
      </w:r>
      <w:r w:rsidRPr="00B001EC">
        <w:rPr>
          <w:rFonts w:ascii="Arial" w:hAnsi="Arial" w:cs="Arial"/>
          <w:noProof/>
          <w:sz w:val="22"/>
        </w:rPr>
        <w:t xml:space="preserve"> YR, </w:t>
      </w:r>
      <w:r w:rsidRPr="00B001EC">
        <w:rPr>
          <w:rFonts w:ascii="Arial" w:hAnsi="Arial" w:cs="Arial"/>
          <w:smallCaps/>
          <w:noProof/>
          <w:sz w:val="22"/>
        </w:rPr>
        <w:t>Nijenhuis</w:t>
      </w:r>
      <w:r w:rsidRPr="00B001EC">
        <w:rPr>
          <w:rFonts w:ascii="Arial" w:hAnsi="Arial" w:cs="Arial"/>
          <w:noProof/>
          <w:sz w:val="22"/>
        </w:rPr>
        <w:t xml:space="preserve"> ERS, </w:t>
      </w:r>
      <w:r w:rsidRPr="00B001EC">
        <w:rPr>
          <w:rFonts w:ascii="Arial" w:hAnsi="Arial" w:cs="Arial"/>
          <w:smallCaps/>
          <w:noProof/>
          <w:sz w:val="22"/>
        </w:rPr>
        <w:t>Chalavi</w:t>
      </w:r>
      <w:r w:rsidRPr="00B001EC">
        <w:rPr>
          <w:rFonts w:ascii="Arial" w:hAnsi="Arial" w:cs="Arial"/>
          <w:noProof/>
          <w:sz w:val="22"/>
        </w:rPr>
        <w:t xml:space="preserve"> S et al. Dissociative part-dependent biopsychosocial reactions to backward masked angry and neutral faces: An fMRI study of dissociative identity disorder. NeuroImage Clin 2013;</w:t>
      </w:r>
      <w:r w:rsidRPr="00B001EC">
        <w:rPr>
          <w:rFonts w:ascii="Arial" w:hAnsi="Arial" w:cs="Arial"/>
          <w:b/>
          <w:bCs/>
          <w:noProof/>
          <w:sz w:val="22"/>
        </w:rPr>
        <w:t>3</w:t>
      </w:r>
      <w:r w:rsidRPr="00B001EC">
        <w:rPr>
          <w:rFonts w:ascii="Arial" w:hAnsi="Arial" w:cs="Arial"/>
          <w:noProof/>
          <w:sz w:val="22"/>
        </w:rPr>
        <w:t>:54–64.</w:t>
      </w:r>
    </w:p>
    <w:p w14:paraId="33A8F9E6"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26.</w:t>
      </w:r>
      <w:r w:rsidRPr="00B001EC">
        <w:rPr>
          <w:rFonts w:ascii="Arial" w:hAnsi="Arial" w:cs="Arial"/>
          <w:noProof/>
          <w:sz w:val="22"/>
        </w:rPr>
        <w:tab/>
      </w:r>
      <w:r w:rsidRPr="00B001EC">
        <w:rPr>
          <w:rFonts w:ascii="Arial" w:hAnsi="Arial" w:cs="Arial"/>
          <w:smallCaps/>
          <w:noProof/>
          <w:sz w:val="22"/>
        </w:rPr>
        <w:t>Schlumpf</w:t>
      </w:r>
      <w:r w:rsidRPr="00B001EC">
        <w:rPr>
          <w:rFonts w:ascii="Arial" w:hAnsi="Arial" w:cs="Arial"/>
          <w:noProof/>
          <w:sz w:val="22"/>
        </w:rPr>
        <w:t xml:space="preserve"> YR, </w:t>
      </w:r>
      <w:r w:rsidRPr="00B001EC">
        <w:rPr>
          <w:rFonts w:ascii="Arial" w:hAnsi="Arial" w:cs="Arial"/>
          <w:smallCaps/>
          <w:noProof/>
          <w:sz w:val="22"/>
        </w:rPr>
        <w:t>Reinders</w:t>
      </w:r>
      <w:r w:rsidRPr="00B001EC">
        <w:rPr>
          <w:rFonts w:ascii="Arial" w:hAnsi="Arial" w:cs="Arial"/>
          <w:noProof/>
          <w:sz w:val="22"/>
        </w:rPr>
        <w:t xml:space="preserve"> AATS, </w:t>
      </w:r>
      <w:r w:rsidRPr="00B001EC">
        <w:rPr>
          <w:rFonts w:ascii="Arial" w:hAnsi="Arial" w:cs="Arial"/>
          <w:smallCaps/>
          <w:noProof/>
          <w:sz w:val="22"/>
        </w:rPr>
        <w:t>Nijenhuis</w:t>
      </w:r>
      <w:r w:rsidRPr="00B001EC">
        <w:rPr>
          <w:rFonts w:ascii="Arial" w:hAnsi="Arial" w:cs="Arial"/>
          <w:noProof/>
          <w:sz w:val="22"/>
        </w:rPr>
        <w:t xml:space="preserve"> ERS, </w:t>
      </w:r>
      <w:r w:rsidRPr="00B001EC">
        <w:rPr>
          <w:rFonts w:ascii="Arial" w:hAnsi="Arial" w:cs="Arial"/>
          <w:smallCaps/>
          <w:noProof/>
          <w:sz w:val="22"/>
        </w:rPr>
        <w:t>Luechinger</w:t>
      </w:r>
      <w:r w:rsidRPr="00B001EC">
        <w:rPr>
          <w:rFonts w:ascii="Arial" w:hAnsi="Arial" w:cs="Arial"/>
          <w:noProof/>
          <w:sz w:val="22"/>
        </w:rPr>
        <w:t xml:space="preserve"> R, </w:t>
      </w:r>
      <w:r w:rsidRPr="00B001EC">
        <w:rPr>
          <w:rFonts w:ascii="Arial" w:hAnsi="Arial" w:cs="Arial"/>
          <w:smallCaps/>
          <w:noProof/>
          <w:sz w:val="22"/>
        </w:rPr>
        <w:t>van</w:t>
      </w:r>
      <w:r w:rsidRPr="00B001EC">
        <w:rPr>
          <w:rFonts w:ascii="Arial" w:hAnsi="Arial" w:cs="Arial"/>
          <w:noProof/>
          <w:sz w:val="22"/>
        </w:rPr>
        <w:t xml:space="preserve"> </w:t>
      </w:r>
      <w:r w:rsidRPr="00B001EC">
        <w:rPr>
          <w:rFonts w:ascii="Arial" w:hAnsi="Arial" w:cs="Arial"/>
          <w:smallCaps/>
          <w:noProof/>
          <w:sz w:val="22"/>
        </w:rPr>
        <w:t>Osch</w:t>
      </w:r>
      <w:r w:rsidRPr="00B001EC">
        <w:rPr>
          <w:rFonts w:ascii="Arial" w:hAnsi="Arial" w:cs="Arial"/>
          <w:noProof/>
          <w:sz w:val="22"/>
        </w:rPr>
        <w:t xml:space="preserve"> MJP, </w:t>
      </w:r>
      <w:r w:rsidRPr="00B001EC">
        <w:rPr>
          <w:rFonts w:ascii="Arial" w:hAnsi="Arial" w:cs="Arial"/>
          <w:smallCaps/>
          <w:noProof/>
          <w:sz w:val="22"/>
        </w:rPr>
        <w:t>Jäncke</w:t>
      </w:r>
      <w:r w:rsidRPr="00B001EC">
        <w:rPr>
          <w:rFonts w:ascii="Arial" w:hAnsi="Arial" w:cs="Arial"/>
          <w:noProof/>
          <w:sz w:val="22"/>
        </w:rPr>
        <w:t xml:space="preserve"> L. Dissociative part-dependent resting-state activity in dissociative identity disorder: a controlled FMRI perfusion study. PLoS One 2014;</w:t>
      </w:r>
      <w:r w:rsidRPr="00B001EC">
        <w:rPr>
          <w:rFonts w:ascii="Arial" w:hAnsi="Arial" w:cs="Arial"/>
          <w:b/>
          <w:bCs/>
          <w:noProof/>
          <w:sz w:val="22"/>
        </w:rPr>
        <w:t>9</w:t>
      </w:r>
      <w:r w:rsidRPr="00B001EC">
        <w:rPr>
          <w:rFonts w:ascii="Arial" w:hAnsi="Arial" w:cs="Arial"/>
          <w:noProof/>
          <w:sz w:val="22"/>
        </w:rPr>
        <w:t>:e98795.</w:t>
      </w:r>
    </w:p>
    <w:p w14:paraId="7487CE2F"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27.</w:t>
      </w:r>
      <w:r w:rsidRPr="00B001EC">
        <w:rPr>
          <w:rFonts w:ascii="Arial" w:hAnsi="Arial" w:cs="Arial"/>
          <w:noProof/>
          <w:sz w:val="22"/>
        </w:rPr>
        <w:tab/>
      </w:r>
      <w:r w:rsidRPr="00B001EC">
        <w:rPr>
          <w:rFonts w:ascii="Arial" w:hAnsi="Arial" w:cs="Arial"/>
          <w:smallCaps/>
          <w:noProof/>
          <w:sz w:val="22"/>
        </w:rPr>
        <w:t>Boon</w:t>
      </w:r>
      <w:r w:rsidRPr="00B001EC">
        <w:rPr>
          <w:rFonts w:ascii="Arial" w:hAnsi="Arial" w:cs="Arial"/>
          <w:noProof/>
          <w:sz w:val="22"/>
        </w:rPr>
        <w:t xml:space="preserve"> S, </w:t>
      </w:r>
      <w:r w:rsidRPr="00B001EC">
        <w:rPr>
          <w:rFonts w:ascii="Arial" w:hAnsi="Arial" w:cs="Arial"/>
          <w:smallCaps/>
          <w:noProof/>
          <w:sz w:val="22"/>
        </w:rPr>
        <w:t>Draijer</w:t>
      </w:r>
      <w:r w:rsidRPr="00B001EC">
        <w:rPr>
          <w:rFonts w:ascii="Arial" w:hAnsi="Arial" w:cs="Arial"/>
          <w:noProof/>
          <w:sz w:val="22"/>
        </w:rPr>
        <w:t xml:space="preserve"> N. Multiple personality disorder in The Netherlands: a clinical investigation of 71 patients. Am J Psychiatry 1993;</w:t>
      </w:r>
      <w:r w:rsidRPr="00B001EC">
        <w:rPr>
          <w:rFonts w:ascii="Arial" w:hAnsi="Arial" w:cs="Arial"/>
          <w:b/>
          <w:bCs/>
          <w:noProof/>
          <w:sz w:val="22"/>
        </w:rPr>
        <w:t>150</w:t>
      </w:r>
      <w:r w:rsidRPr="00B001EC">
        <w:rPr>
          <w:rFonts w:ascii="Arial" w:hAnsi="Arial" w:cs="Arial"/>
          <w:noProof/>
          <w:sz w:val="22"/>
        </w:rPr>
        <w:t>:489–494.</w:t>
      </w:r>
    </w:p>
    <w:p w14:paraId="18FDD4EB"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28.</w:t>
      </w:r>
      <w:r w:rsidRPr="00B001EC">
        <w:rPr>
          <w:rFonts w:ascii="Arial" w:hAnsi="Arial" w:cs="Arial"/>
          <w:noProof/>
          <w:sz w:val="22"/>
        </w:rPr>
        <w:tab/>
      </w:r>
      <w:r w:rsidRPr="00B001EC">
        <w:rPr>
          <w:rFonts w:ascii="Arial" w:hAnsi="Arial" w:cs="Arial"/>
          <w:smallCaps/>
          <w:noProof/>
          <w:sz w:val="22"/>
        </w:rPr>
        <w:t>Steinberg</w:t>
      </w:r>
      <w:r w:rsidRPr="00B001EC">
        <w:rPr>
          <w:rFonts w:ascii="Arial" w:hAnsi="Arial" w:cs="Arial"/>
          <w:noProof/>
          <w:sz w:val="22"/>
        </w:rPr>
        <w:t xml:space="preserve"> M. </w:t>
      </w:r>
      <w:r w:rsidRPr="00B001EC">
        <w:rPr>
          <w:rFonts w:ascii="Arial" w:hAnsi="Arial" w:cs="Arial"/>
          <w:i/>
          <w:iCs/>
          <w:noProof/>
          <w:sz w:val="22"/>
        </w:rPr>
        <w:t>Structured Clinical Interview for DSM-IV Dissociative Disorders (SCID-D).</w:t>
      </w:r>
      <w:r w:rsidRPr="00B001EC">
        <w:rPr>
          <w:rFonts w:ascii="Arial" w:hAnsi="Arial" w:cs="Arial"/>
          <w:noProof/>
          <w:sz w:val="22"/>
        </w:rPr>
        <w:t xml:space="preserve"> Washington DC: American Psychiatric Press, 1993</w:t>
      </w:r>
    </w:p>
    <w:p w14:paraId="5CDDE7F4"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29.</w:t>
      </w:r>
      <w:r w:rsidRPr="00B001EC">
        <w:rPr>
          <w:rFonts w:ascii="Arial" w:hAnsi="Arial" w:cs="Arial"/>
          <w:noProof/>
          <w:sz w:val="22"/>
        </w:rPr>
        <w:tab/>
      </w:r>
      <w:r w:rsidRPr="00B001EC">
        <w:rPr>
          <w:rFonts w:ascii="Arial" w:hAnsi="Arial" w:cs="Arial"/>
          <w:smallCaps/>
          <w:noProof/>
          <w:sz w:val="22"/>
        </w:rPr>
        <w:t>Bernstein</w:t>
      </w:r>
      <w:r w:rsidRPr="00B001EC">
        <w:rPr>
          <w:rFonts w:ascii="Arial" w:hAnsi="Arial" w:cs="Arial"/>
          <w:noProof/>
          <w:sz w:val="22"/>
        </w:rPr>
        <w:t xml:space="preserve"> EM, </w:t>
      </w:r>
      <w:r w:rsidRPr="00B001EC">
        <w:rPr>
          <w:rFonts w:ascii="Arial" w:hAnsi="Arial" w:cs="Arial"/>
          <w:smallCaps/>
          <w:noProof/>
          <w:sz w:val="22"/>
        </w:rPr>
        <w:t>Putnam</w:t>
      </w:r>
      <w:r w:rsidRPr="00B001EC">
        <w:rPr>
          <w:rFonts w:ascii="Arial" w:hAnsi="Arial" w:cs="Arial"/>
          <w:noProof/>
          <w:sz w:val="22"/>
        </w:rPr>
        <w:t xml:space="preserve"> FW. Development, reliability, and validity of a dissociation </w:t>
      </w:r>
      <w:r w:rsidRPr="00B001EC">
        <w:rPr>
          <w:rFonts w:ascii="Arial" w:hAnsi="Arial" w:cs="Arial"/>
          <w:noProof/>
          <w:sz w:val="22"/>
        </w:rPr>
        <w:lastRenderedPageBreak/>
        <w:t>scale. J Nerv Ment Dis 1986;</w:t>
      </w:r>
      <w:r w:rsidRPr="00B001EC">
        <w:rPr>
          <w:rFonts w:ascii="Arial" w:hAnsi="Arial" w:cs="Arial"/>
          <w:b/>
          <w:bCs/>
          <w:noProof/>
          <w:sz w:val="22"/>
        </w:rPr>
        <w:t>174</w:t>
      </w:r>
      <w:r w:rsidRPr="00B001EC">
        <w:rPr>
          <w:rFonts w:ascii="Arial" w:hAnsi="Arial" w:cs="Arial"/>
          <w:noProof/>
          <w:sz w:val="22"/>
        </w:rPr>
        <w:t>:727–735.</w:t>
      </w:r>
    </w:p>
    <w:p w14:paraId="48185867"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30.</w:t>
      </w:r>
      <w:r w:rsidRPr="00B001EC">
        <w:rPr>
          <w:rFonts w:ascii="Arial" w:hAnsi="Arial" w:cs="Arial"/>
          <w:noProof/>
          <w:sz w:val="22"/>
        </w:rPr>
        <w:tab/>
      </w:r>
      <w:r w:rsidRPr="00B001EC">
        <w:rPr>
          <w:rFonts w:ascii="Arial" w:hAnsi="Arial" w:cs="Arial"/>
          <w:smallCaps/>
          <w:noProof/>
          <w:sz w:val="22"/>
        </w:rPr>
        <w:t>Nijenhuis</w:t>
      </w:r>
      <w:r w:rsidRPr="00B001EC">
        <w:rPr>
          <w:rFonts w:ascii="Arial" w:hAnsi="Arial" w:cs="Arial"/>
          <w:noProof/>
          <w:sz w:val="22"/>
        </w:rPr>
        <w:t xml:space="preserve"> ERS, </w:t>
      </w:r>
      <w:r w:rsidRPr="00B001EC">
        <w:rPr>
          <w:rFonts w:ascii="Arial" w:hAnsi="Arial" w:cs="Arial"/>
          <w:smallCaps/>
          <w:noProof/>
          <w:sz w:val="22"/>
        </w:rPr>
        <w:t>Spinhoven</w:t>
      </w:r>
      <w:r w:rsidRPr="00B001EC">
        <w:rPr>
          <w:rFonts w:ascii="Arial" w:hAnsi="Arial" w:cs="Arial"/>
          <w:noProof/>
          <w:sz w:val="22"/>
        </w:rPr>
        <w:t xml:space="preserve"> P, </w:t>
      </w:r>
      <w:r w:rsidRPr="00B001EC">
        <w:rPr>
          <w:rFonts w:ascii="Arial" w:hAnsi="Arial" w:cs="Arial"/>
          <w:smallCaps/>
          <w:noProof/>
          <w:sz w:val="22"/>
        </w:rPr>
        <w:t>Van</w:t>
      </w:r>
      <w:r w:rsidRPr="00B001EC">
        <w:rPr>
          <w:rFonts w:ascii="Arial" w:hAnsi="Arial" w:cs="Arial"/>
          <w:noProof/>
          <w:sz w:val="22"/>
        </w:rPr>
        <w:t xml:space="preserve"> </w:t>
      </w:r>
      <w:r w:rsidRPr="00B001EC">
        <w:rPr>
          <w:rFonts w:ascii="Arial" w:hAnsi="Arial" w:cs="Arial"/>
          <w:smallCaps/>
          <w:noProof/>
          <w:sz w:val="22"/>
        </w:rPr>
        <w:t>Dyck</w:t>
      </w:r>
      <w:r w:rsidRPr="00B001EC">
        <w:rPr>
          <w:rFonts w:ascii="Arial" w:hAnsi="Arial" w:cs="Arial"/>
          <w:noProof/>
          <w:sz w:val="22"/>
        </w:rPr>
        <w:t xml:space="preserve"> R, </w:t>
      </w:r>
      <w:r w:rsidRPr="00B001EC">
        <w:rPr>
          <w:rFonts w:ascii="Arial" w:hAnsi="Arial" w:cs="Arial"/>
          <w:smallCaps/>
          <w:noProof/>
          <w:sz w:val="22"/>
        </w:rPr>
        <w:t>Van der</w:t>
      </w:r>
      <w:r w:rsidRPr="00B001EC">
        <w:rPr>
          <w:rFonts w:ascii="Arial" w:hAnsi="Arial" w:cs="Arial"/>
          <w:noProof/>
          <w:sz w:val="22"/>
        </w:rPr>
        <w:t xml:space="preserve"> </w:t>
      </w:r>
      <w:r w:rsidRPr="00B001EC">
        <w:rPr>
          <w:rFonts w:ascii="Arial" w:hAnsi="Arial" w:cs="Arial"/>
          <w:smallCaps/>
          <w:noProof/>
          <w:sz w:val="22"/>
        </w:rPr>
        <w:t>Hart</w:t>
      </w:r>
      <w:r w:rsidRPr="00B001EC">
        <w:rPr>
          <w:rFonts w:ascii="Arial" w:hAnsi="Arial" w:cs="Arial"/>
          <w:noProof/>
          <w:sz w:val="22"/>
        </w:rPr>
        <w:t xml:space="preserve"> O, </w:t>
      </w:r>
      <w:r w:rsidRPr="00B001EC">
        <w:rPr>
          <w:rFonts w:ascii="Arial" w:hAnsi="Arial" w:cs="Arial"/>
          <w:smallCaps/>
          <w:noProof/>
          <w:sz w:val="22"/>
        </w:rPr>
        <w:t>Vanderlinden</w:t>
      </w:r>
      <w:r w:rsidRPr="00B001EC">
        <w:rPr>
          <w:rFonts w:ascii="Arial" w:hAnsi="Arial" w:cs="Arial"/>
          <w:noProof/>
          <w:sz w:val="22"/>
        </w:rPr>
        <w:t xml:space="preserve"> J. The development and psychometric characteristics of the Somatoform Dissociation Questionnaire (SDQ-20). J Nerv Ment Dis 1996;</w:t>
      </w:r>
      <w:r w:rsidRPr="00B001EC">
        <w:rPr>
          <w:rFonts w:ascii="Arial" w:hAnsi="Arial" w:cs="Arial"/>
          <w:b/>
          <w:bCs/>
          <w:noProof/>
          <w:sz w:val="22"/>
        </w:rPr>
        <w:t>184</w:t>
      </w:r>
      <w:r w:rsidRPr="00B001EC">
        <w:rPr>
          <w:rFonts w:ascii="Arial" w:hAnsi="Arial" w:cs="Arial"/>
          <w:noProof/>
          <w:sz w:val="22"/>
        </w:rPr>
        <w:t>:688–694.</w:t>
      </w:r>
    </w:p>
    <w:p w14:paraId="69043C4F"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31.</w:t>
      </w:r>
      <w:r w:rsidRPr="00B001EC">
        <w:rPr>
          <w:rFonts w:ascii="Arial" w:hAnsi="Arial" w:cs="Arial"/>
          <w:noProof/>
          <w:sz w:val="22"/>
        </w:rPr>
        <w:tab/>
      </w:r>
      <w:r w:rsidRPr="00B001EC">
        <w:rPr>
          <w:rFonts w:ascii="Arial" w:hAnsi="Arial" w:cs="Arial"/>
          <w:smallCaps/>
          <w:noProof/>
          <w:sz w:val="22"/>
        </w:rPr>
        <w:t>Sierra</w:t>
      </w:r>
      <w:r w:rsidRPr="00B001EC">
        <w:rPr>
          <w:rFonts w:ascii="Arial" w:hAnsi="Arial" w:cs="Arial"/>
          <w:noProof/>
          <w:sz w:val="22"/>
        </w:rPr>
        <w:t xml:space="preserve"> M, </w:t>
      </w:r>
      <w:r w:rsidRPr="00B001EC">
        <w:rPr>
          <w:rFonts w:ascii="Arial" w:hAnsi="Arial" w:cs="Arial"/>
          <w:smallCaps/>
          <w:noProof/>
          <w:sz w:val="22"/>
        </w:rPr>
        <w:t>Berrios</w:t>
      </w:r>
      <w:r w:rsidRPr="00B001EC">
        <w:rPr>
          <w:rFonts w:ascii="Arial" w:hAnsi="Arial" w:cs="Arial"/>
          <w:noProof/>
          <w:sz w:val="22"/>
        </w:rPr>
        <w:t xml:space="preserve"> GE. The Cambridge Depersonalization Scale: a new instrument for the measurement of depersonalization. Psychiatry Res 2000;</w:t>
      </w:r>
      <w:r w:rsidRPr="00B001EC">
        <w:rPr>
          <w:rFonts w:ascii="Arial" w:hAnsi="Arial" w:cs="Arial"/>
          <w:b/>
          <w:bCs/>
          <w:noProof/>
          <w:sz w:val="22"/>
        </w:rPr>
        <w:t>93</w:t>
      </w:r>
      <w:r w:rsidRPr="00B001EC">
        <w:rPr>
          <w:rFonts w:ascii="Arial" w:hAnsi="Arial" w:cs="Arial"/>
          <w:noProof/>
          <w:sz w:val="22"/>
        </w:rPr>
        <w:t>:153–164.</w:t>
      </w:r>
    </w:p>
    <w:p w14:paraId="628A9B2F"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32.</w:t>
      </w:r>
      <w:r w:rsidRPr="00B001EC">
        <w:rPr>
          <w:rFonts w:ascii="Arial" w:hAnsi="Arial" w:cs="Arial"/>
          <w:noProof/>
          <w:sz w:val="22"/>
        </w:rPr>
        <w:tab/>
      </w:r>
      <w:r w:rsidRPr="00B001EC">
        <w:rPr>
          <w:rFonts w:ascii="Arial" w:hAnsi="Arial" w:cs="Arial"/>
          <w:smallCaps/>
          <w:noProof/>
          <w:sz w:val="22"/>
        </w:rPr>
        <w:t>Nijenhuis</w:t>
      </w:r>
      <w:r w:rsidRPr="00B001EC">
        <w:rPr>
          <w:rFonts w:ascii="Arial" w:hAnsi="Arial" w:cs="Arial"/>
          <w:noProof/>
          <w:sz w:val="22"/>
        </w:rPr>
        <w:t xml:space="preserve"> ERS, </w:t>
      </w:r>
      <w:r w:rsidRPr="00B001EC">
        <w:rPr>
          <w:rFonts w:ascii="Arial" w:hAnsi="Arial" w:cs="Arial"/>
          <w:smallCaps/>
          <w:noProof/>
          <w:sz w:val="22"/>
        </w:rPr>
        <w:t>Van der</w:t>
      </w:r>
      <w:r w:rsidRPr="00B001EC">
        <w:rPr>
          <w:rFonts w:ascii="Arial" w:hAnsi="Arial" w:cs="Arial"/>
          <w:noProof/>
          <w:sz w:val="22"/>
        </w:rPr>
        <w:t xml:space="preserve"> </w:t>
      </w:r>
      <w:r w:rsidRPr="00B001EC">
        <w:rPr>
          <w:rFonts w:ascii="Arial" w:hAnsi="Arial" w:cs="Arial"/>
          <w:smallCaps/>
          <w:noProof/>
          <w:sz w:val="22"/>
        </w:rPr>
        <w:t>Hart</w:t>
      </w:r>
      <w:r w:rsidRPr="00B001EC">
        <w:rPr>
          <w:rFonts w:ascii="Arial" w:hAnsi="Arial" w:cs="Arial"/>
          <w:noProof/>
          <w:sz w:val="22"/>
        </w:rPr>
        <w:t xml:space="preserve"> O, </w:t>
      </w:r>
      <w:r w:rsidRPr="00B001EC">
        <w:rPr>
          <w:rFonts w:ascii="Arial" w:hAnsi="Arial" w:cs="Arial"/>
          <w:smallCaps/>
          <w:noProof/>
          <w:sz w:val="22"/>
        </w:rPr>
        <w:t>Kruger</w:t>
      </w:r>
      <w:r w:rsidRPr="00B001EC">
        <w:rPr>
          <w:rFonts w:ascii="Arial" w:hAnsi="Arial" w:cs="Arial"/>
          <w:noProof/>
          <w:sz w:val="22"/>
        </w:rPr>
        <w:t xml:space="preserve"> K. The psychometric characteristics of the Traumatic Experiences Checklist (TEC): first findings among psychiatric outpatients. Clin Psychol Psychother 2002;</w:t>
      </w:r>
      <w:r w:rsidRPr="00B001EC">
        <w:rPr>
          <w:rFonts w:ascii="Arial" w:hAnsi="Arial" w:cs="Arial"/>
          <w:b/>
          <w:bCs/>
          <w:noProof/>
          <w:sz w:val="22"/>
        </w:rPr>
        <w:t>9</w:t>
      </w:r>
      <w:r w:rsidRPr="00B001EC">
        <w:rPr>
          <w:rFonts w:ascii="Arial" w:hAnsi="Arial" w:cs="Arial"/>
          <w:noProof/>
          <w:sz w:val="22"/>
        </w:rPr>
        <w:t>:200–210.</w:t>
      </w:r>
    </w:p>
    <w:p w14:paraId="7A7036E8"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33.</w:t>
      </w:r>
      <w:r w:rsidRPr="00B001EC">
        <w:rPr>
          <w:rFonts w:ascii="Arial" w:hAnsi="Arial" w:cs="Arial"/>
          <w:noProof/>
          <w:sz w:val="22"/>
        </w:rPr>
        <w:tab/>
      </w:r>
      <w:r w:rsidRPr="00B001EC">
        <w:rPr>
          <w:rFonts w:ascii="Arial" w:hAnsi="Arial" w:cs="Arial"/>
          <w:smallCaps/>
          <w:noProof/>
          <w:sz w:val="22"/>
        </w:rPr>
        <w:t>Chalavi</w:t>
      </w:r>
      <w:r w:rsidRPr="00B001EC">
        <w:rPr>
          <w:rFonts w:ascii="Arial" w:hAnsi="Arial" w:cs="Arial"/>
          <w:noProof/>
          <w:sz w:val="22"/>
        </w:rPr>
        <w:t xml:space="preserve"> S, </w:t>
      </w:r>
      <w:r w:rsidRPr="00B001EC">
        <w:rPr>
          <w:rFonts w:ascii="Arial" w:hAnsi="Arial" w:cs="Arial"/>
          <w:smallCaps/>
          <w:noProof/>
          <w:sz w:val="22"/>
        </w:rPr>
        <w:t>Simmons</w:t>
      </w:r>
      <w:r w:rsidRPr="00B001EC">
        <w:rPr>
          <w:rFonts w:ascii="Arial" w:hAnsi="Arial" w:cs="Arial"/>
          <w:noProof/>
          <w:sz w:val="22"/>
        </w:rPr>
        <w:t xml:space="preserve"> A, </w:t>
      </w:r>
      <w:r w:rsidRPr="00B001EC">
        <w:rPr>
          <w:rFonts w:ascii="Arial" w:hAnsi="Arial" w:cs="Arial"/>
          <w:smallCaps/>
          <w:noProof/>
          <w:sz w:val="22"/>
        </w:rPr>
        <w:t>Dijkstra</w:t>
      </w:r>
      <w:r w:rsidRPr="00B001EC">
        <w:rPr>
          <w:rFonts w:ascii="Arial" w:hAnsi="Arial" w:cs="Arial"/>
          <w:noProof/>
          <w:sz w:val="22"/>
        </w:rPr>
        <w:t xml:space="preserve"> H, </w:t>
      </w:r>
      <w:r w:rsidRPr="00B001EC">
        <w:rPr>
          <w:rFonts w:ascii="Arial" w:hAnsi="Arial" w:cs="Arial"/>
          <w:smallCaps/>
          <w:noProof/>
          <w:sz w:val="22"/>
        </w:rPr>
        <w:t>Barker</w:t>
      </w:r>
      <w:r w:rsidRPr="00B001EC">
        <w:rPr>
          <w:rFonts w:ascii="Arial" w:hAnsi="Arial" w:cs="Arial"/>
          <w:noProof/>
          <w:sz w:val="22"/>
        </w:rPr>
        <w:t xml:space="preserve"> GJ, </w:t>
      </w:r>
      <w:r w:rsidRPr="00B001EC">
        <w:rPr>
          <w:rFonts w:ascii="Arial" w:hAnsi="Arial" w:cs="Arial"/>
          <w:smallCaps/>
          <w:noProof/>
          <w:sz w:val="22"/>
        </w:rPr>
        <w:t>Reinders</w:t>
      </w:r>
      <w:r w:rsidRPr="00B001EC">
        <w:rPr>
          <w:rFonts w:ascii="Arial" w:hAnsi="Arial" w:cs="Arial"/>
          <w:noProof/>
          <w:sz w:val="22"/>
        </w:rPr>
        <w:t xml:space="preserve"> AA. Quantitative and qualitative assessment of structural magnetic resonance imaging data in a two-center study. BMC Med Imaging 2012;</w:t>
      </w:r>
      <w:r w:rsidRPr="00B001EC">
        <w:rPr>
          <w:rFonts w:ascii="Arial" w:hAnsi="Arial" w:cs="Arial"/>
          <w:b/>
          <w:bCs/>
          <w:noProof/>
          <w:sz w:val="22"/>
        </w:rPr>
        <w:t>12</w:t>
      </w:r>
      <w:r w:rsidRPr="00B001EC">
        <w:rPr>
          <w:rFonts w:ascii="Arial" w:hAnsi="Arial" w:cs="Arial"/>
          <w:noProof/>
          <w:sz w:val="22"/>
        </w:rPr>
        <w:t>:27.</w:t>
      </w:r>
    </w:p>
    <w:p w14:paraId="3DF76482"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34.</w:t>
      </w:r>
      <w:r w:rsidRPr="00B001EC">
        <w:rPr>
          <w:rFonts w:ascii="Arial" w:hAnsi="Arial" w:cs="Arial"/>
          <w:noProof/>
          <w:sz w:val="22"/>
        </w:rPr>
        <w:tab/>
      </w:r>
      <w:r w:rsidRPr="00B001EC">
        <w:rPr>
          <w:rFonts w:ascii="Arial" w:hAnsi="Arial" w:cs="Arial"/>
          <w:smallCaps/>
          <w:noProof/>
          <w:sz w:val="22"/>
        </w:rPr>
        <w:t>Dale</w:t>
      </w:r>
      <w:r w:rsidRPr="00B001EC">
        <w:rPr>
          <w:rFonts w:ascii="Arial" w:hAnsi="Arial" w:cs="Arial"/>
          <w:noProof/>
          <w:sz w:val="22"/>
        </w:rPr>
        <w:t xml:space="preserve"> AM, </w:t>
      </w:r>
      <w:r w:rsidRPr="00B001EC">
        <w:rPr>
          <w:rFonts w:ascii="Arial" w:hAnsi="Arial" w:cs="Arial"/>
          <w:smallCaps/>
          <w:noProof/>
          <w:sz w:val="22"/>
        </w:rPr>
        <w:t>Fischl</w:t>
      </w:r>
      <w:r w:rsidRPr="00B001EC">
        <w:rPr>
          <w:rFonts w:ascii="Arial" w:hAnsi="Arial" w:cs="Arial"/>
          <w:noProof/>
          <w:sz w:val="22"/>
        </w:rPr>
        <w:t xml:space="preserve"> B, </w:t>
      </w:r>
      <w:r w:rsidRPr="00B001EC">
        <w:rPr>
          <w:rFonts w:ascii="Arial" w:hAnsi="Arial" w:cs="Arial"/>
          <w:smallCaps/>
          <w:noProof/>
          <w:sz w:val="22"/>
        </w:rPr>
        <w:t>Sereno</w:t>
      </w:r>
      <w:r w:rsidRPr="00B001EC">
        <w:rPr>
          <w:rFonts w:ascii="Arial" w:hAnsi="Arial" w:cs="Arial"/>
          <w:noProof/>
          <w:sz w:val="22"/>
        </w:rPr>
        <w:t xml:space="preserve"> MI. Cortical surface-based analysis. I. Segmentation and surface reconstruction. Neuroimage 1999;</w:t>
      </w:r>
      <w:r w:rsidRPr="00B001EC">
        <w:rPr>
          <w:rFonts w:ascii="Arial" w:hAnsi="Arial" w:cs="Arial"/>
          <w:b/>
          <w:bCs/>
          <w:noProof/>
          <w:sz w:val="22"/>
        </w:rPr>
        <w:t>9</w:t>
      </w:r>
      <w:r w:rsidRPr="00B001EC">
        <w:rPr>
          <w:rFonts w:ascii="Arial" w:hAnsi="Arial" w:cs="Arial"/>
          <w:noProof/>
          <w:sz w:val="22"/>
        </w:rPr>
        <w:t>:179–194.</w:t>
      </w:r>
    </w:p>
    <w:p w14:paraId="56D79D60"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35.</w:t>
      </w:r>
      <w:r w:rsidRPr="00B001EC">
        <w:rPr>
          <w:rFonts w:ascii="Arial" w:hAnsi="Arial" w:cs="Arial"/>
          <w:noProof/>
          <w:sz w:val="22"/>
        </w:rPr>
        <w:tab/>
      </w:r>
      <w:r w:rsidRPr="00B001EC">
        <w:rPr>
          <w:rFonts w:ascii="Arial" w:hAnsi="Arial" w:cs="Arial"/>
          <w:smallCaps/>
          <w:noProof/>
          <w:sz w:val="22"/>
        </w:rPr>
        <w:t>Fischl</w:t>
      </w:r>
      <w:r w:rsidRPr="00B001EC">
        <w:rPr>
          <w:rFonts w:ascii="Arial" w:hAnsi="Arial" w:cs="Arial"/>
          <w:noProof/>
          <w:sz w:val="22"/>
        </w:rPr>
        <w:t xml:space="preserve"> B, </w:t>
      </w:r>
      <w:r w:rsidRPr="00B001EC">
        <w:rPr>
          <w:rFonts w:ascii="Arial" w:hAnsi="Arial" w:cs="Arial"/>
          <w:smallCaps/>
          <w:noProof/>
          <w:sz w:val="22"/>
        </w:rPr>
        <w:t>Sereno</w:t>
      </w:r>
      <w:r w:rsidRPr="00B001EC">
        <w:rPr>
          <w:rFonts w:ascii="Arial" w:hAnsi="Arial" w:cs="Arial"/>
          <w:noProof/>
          <w:sz w:val="22"/>
        </w:rPr>
        <w:t xml:space="preserve"> MI, </w:t>
      </w:r>
      <w:r w:rsidRPr="00B001EC">
        <w:rPr>
          <w:rFonts w:ascii="Arial" w:hAnsi="Arial" w:cs="Arial"/>
          <w:smallCaps/>
          <w:noProof/>
          <w:sz w:val="22"/>
        </w:rPr>
        <w:t>Dale</w:t>
      </w:r>
      <w:r w:rsidRPr="00B001EC">
        <w:rPr>
          <w:rFonts w:ascii="Arial" w:hAnsi="Arial" w:cs="Arial"/>
          <w:noProof/>
          <w:sz w:val="22"/>
        </w:rPr>
        <w:t xml:space="preserve"> AM. Cortical surface-based analysis. II: Inflation, flattening, and a surface-based coordinate system. Neuroimage 1999;</w:t>
      </w:r>
      <w:r w:rsidRPr="00B001EC">
        <w:rPr>
          <w:rFonts w:ascii="Arial" w:hAnsi="Arial" w:cs="Arial"/>
          <w:b/>
          <w:bCs/>
          <w:noProof/>
          <w:sz w:val="22"/>
        </w:rPr>
        <w:t>9</w:t>
      </w:r>
      <w:r w:rsidRPr="00B001EC">
        <w:rPr>
          <w:rFonts w:ascii="Arial" w:hAnsi="Arial" w:cs="Arial"/>
          <w:noProof/>
          <w:sz w:val="22"/>
        </w:rPr>
        <w:t>:195–207.</w:t>
      </w:r>
    </w:p>
    <w:p w14:paraId="28BD5706"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36.</w:t>
      </w:r>
      <w:r w:rsidRPr="00B001EC">
        <w:rPr>
          <w:rFonts w:ascii="Arial" w:hAnsi="Arial" w:cs="Arial"/>
          <w:noProof/>
          <w:sz w:val="22"/>
        </w:rPr>
        <w:tab/>
      </w:r>
      <w:r w:rsidRPr="00B001EC">
        <w:rPr>
          <w:rFonts w:ascii="Arial" w:hAnsi="Arial" w:cs="Arial"/>
          <w:smallCaps/>
          <w:noProof/>
          <w:sz w:val="22"/>
        </w:rPr>
        <w:t>Fischl</w:t>
      </w:r>
      <w:r w:rsidRPr="00B001EC">
        <w:rPr>
          <w:rFonts w:ascii="Arial" w:hAnsi="Arial" w:cs="Arial"/>
          <w:noProof/>
          <w:sz w:val="22"/>
        </w:rPr>
        <w:t xml:space="preserve"> B, </w:t>
      </w:r>
      <w:r w:rsidRPr="00B001EC">
        <w:rPr>
          <w:rFonts w:ascii="Arial" w:hAnsi="Arial" w:cs="Arial"/>
          <w:smallCaps/>
          <w:noProof/>
          <w:sz w:val="22"/>
        </w:rPr>
        <w:t>Dale</w:t>
      </w:r>
      <w:r w:rsidRPr="00B001EC">
        <w:rPr>
          <w:rFonts w:ascii="Arial" w:hAnsi="Arial" w:cs="Arial"/>
          <w:noProof/>
          <w:sz w:val="22"/>
        </w:rPr>
        <w:t xml:space="preserve">  a M. Measuring the thickness of the human cerebral cortex from magnetic resonance images. Proc Natl Acad Sci U S A 2000;</w:t>
      </w:r>
      <w:r w:rsidRPr="00B001EC">
        <w:rPr>
          <w:rFonts w:ascii="Arial" w:hAnsi="Arial" w:cs="Arial"/>
          <w:b/>
          <w:bCs/>
          <w:noProof/>
          <w:sz w:val="22"/>
        </w:rPr>
        <w:t>97</w:t>
      </w:r>
      <w:r w:rsidRPr="00B001EC">
        <w:rPr>
          <w:rFonts w:ascii="Arial" w:hAnsi="Arial" w:cs="Arial"/>
          <w:noProof/>
          <w:sz w:val="22"/>
        </w:rPr>
        <w:t>:11050–11055.</w:t>
      </w:r>
    </w:p>
    <w:p w14:paraId="02C05148"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37.</w:t>
      </w:r>
      <w:r w:rsidRPr="00B001EC">
        <w:rPr>
          <w:rFonts w:ascii="Arial" w:hAnsi="Arial" w:cs="Arial"/>
          <w:noProof/>
          <w:sz w:val="22"/>
        </w:rPr>
        <w:tab/>
      </w:r>
      <w:r w:rsidRPr="00B001EC">
        <w:rPr>
          <w:rFonts w:ascii="Arial" w:hAnsi="Arial" w:cs="Arial"/>
          <w:smallCaps/>
          <w:noProof/>
          <w:sz w:val="22"/>
        </w:rPr>
        <w:t>Ségonne</w:t>
      </w:r>
      <w:r w:rsidRPr="00B001EC">
        <w:rPr>
          <w:rFonts w:ascii="Arial" w:hAnsi="Arial" w:cs="Arial"/>
          <w:noProof/>
          <w:sz w:val="22"/>
        </w:rPr>
        <w:t xml:space="preserve"> F, </w:t>
      </w:r>
      <w:r w:rsidRPr="00B001EC">
        <w:rPr>
          <w:rFonts w:ascii="Arial" w:hAnsi="Arial" w:cs="Arial"/>
          <w:smallCaps/>
          <w:noProof/>
          <w:sz w:val="22"/>
        </w:rPr>
        <w:t>Dale</w:t>
      </w:r>
      <w:r w:rsidRPr="00B001EC">
        <w:rPr>
          <w:rFonts w:ascii="Arial" w:hAnsi="Arial" w:cs="Arial"/>
          <w:noProof/>
          <w:sz w:val="22"/>
        </w:rPr>
        <w:t xml:space="preserve"> AM, </w:t>
      </w:r>
      <w:r w:rsidRPr="00B001EC">
        <w:rPr>
          <w:rFonts w:ascii="Arial" w:hAnsi="Arial" w:cs="Arial"/>
          <w:smallCaps/>
          <w:noProof/>
          <w:sz w:val="22"/>
        </w:rPr>
        <w:t>Busa</w:t>
      </w:r>
      <w:r w:rsidRPr="00B001EC">
        <w:rPr>
          <w:rFonts w:ascii="Arial" w:hAnsi="Arial" w:cs="Arial"/>
          <w:noProof/>
          <w:sz w:val="22"/>
        </w:rPr>
        <w:t xml:space="preserve"> E et al. A hybrid approach to the skull stripping problem in MRI. Neuroimage 2004;</w:t>
      </w:r>
      <w:r w:rsidRPr="00B001EC">
        <w:rPr>
          <w:rFonts w:ascii="Arial" w:hAnsi="Arial" w:cs="Arial"/>
          <w:b/>
          <w:bCs/>
          <w:noProof/>
          <w:sz w:val="22"/>
        </w:rPr>
        <w:t>22</w:t>
      </w:r>
      <w:r w:rsidRPr="00B001EC">
        <w:rPr>
          <w:rFonts w:ascii="Arial" w:hAnsi="Arial" w:cs="Arial"/>
          <w:noProof/>
          <w:sz w:val="22"/>
        </w:rPr>
        <w:t>:1060–1075.</w:t>
      </w:r>
    </w:p>
    <w:p w14:paraId="26FAF14D"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38.</w:t>
      </w:r>
      <w:r w:rsidRPr="00B001EC">
        <w:rPr>
          <w:rFonts w:ascii="Arial" w:hAnsi="Arial" w:cs="Arial"/>
          <w:noProof/>
          <w:sz w:val="22"/>
        </w:rPr>
        <w:tab/>
      </w:r>
      <w:r w:rsidRPr="00B001EC">
        <w:rPr>
          <w:rFonts w:ascii="Arial" w:hAnsi="Arial" w:cs="Arial"/>
          <w:smallCaps/>
          <w:noProof/>
          <w:sz w:val="22"/>
        </w:rPr>
        <w:t>Winkler</w:t>
      </w:r>
      <w:r w:rsidRPr="00B001EC">
        <w:rPr>
          <w:rFonts w:ascii="Arial" w:hAnsi="Arial" w:cs="Arial"/>
          <w:noProof/>
          <w:sz w:val="22"/>
        </w:rPr>
        <w:t xml:space="preserve"> AM, </w:t>
      </w:r>
      <w:r w:rsidRPr="00B001EC">
        <w:rPr>
          <w:rFonts w:ascii="Arial" w:hAnsi="Arial" w:cs="Arial"/>
          <w:smallCaps/>
          <w:noProof/>
          <w:sz w:val="22"/>
        </w:rPr>
        <w:t>Sabuncu</w:t>
      </w:r>
      <w:r w:rsidRPr="00B001EC">
        <w:rPr>
          <w:rFonts w:ascii="Arial" w:hAnsi="Arial" w:cs="Arial"/>
          <w:noProof/>
          <w:sz w:val="22"/>
        </w:rPr>
        <w:t xml:space="preserve"> MR, </w:t>
      </w:r>
      <w:r w:rsidRPr="00B001EC">
        <w:rPr>
          <w:rFonts w:ascii="Arial" w:hAnsi="Arial" w:cs="Arial"/>
          <w:smallCaps/>
          <w:noProof/>
          <w:sz w:val="22"/>
        </w:rPr>
        <w:t>Yeo</w:t>
      </w:r>
      <w:r w:rsidRPr="00B001EC">
        <w:rPr>
          <w:rFonts w:ascii="Arial" w:hAnsi="Arial" w:cs="Arial"/>
          <w:noProof/>
          <w:sz w:val="22"/>
        </w:rPr>
        <w:t xml:space="preserve"> BTT et al. Measuring and comparing brain cortical surface area and other areal quantities. Neuroimage 2012;</w:t>
      </w:r>
      <w:r w:rsidRPr="00B001EC">
        <w:rPr>
          <w:rFonts w:ascii="Arial" w:hAnsi="Arial" w:cs="Arial"/>
          <w:b/>
          <w:bCs/>
          <w:noProof/>
          <w:sz w:val="22"/>
        </w:rPr>
        <w:t>61</w:t>
      </w:r>
      <w:r w:rsidRPr="00B001EC">
        <w:rPr>
          <w:rFonts w:ascii="Arial" w:hAnsi="Arial" w:cs="Arial"/>
          <w:noProof/>
          <w:sz w:val="22"/>
        </w:rPr>
        <w:t>:1428–1443.</w:t>
      </w:r>
    </w:p>
    <w:p w14:paraId="0407EF05"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39.</w:t>
      </w:r>
      <w:r w:rsidRPr="00B001EC">
        <w:rPr>
          <w:rFonts w:ascii="Arial" w:hAnsi="Arial" w:cs="Arial"/>
          <w:noProof/>
          <w:sz w:val="22"/>
        </w:rPr>
        <w:tab/>
      </w:r>
      <w:r w:rsidRPr="00B001EC">
        <w:rPr>
          <w:rFonts w:ascii="Arial" w:hAnsi="Arial" w:cs="Arial"/>
          <w:smallCaps/>
          <w:noProof/>
          <w:sz w:val="22"/>
        </w:rPr>
        <w:t>Worsley</w:t>
      </w:r>
      <w:r w:rsidRPr="00B001EC">
        <w:rPr>
          <w:rFonts w:ascii="Arial" w:hAnsi="Arial" w:cs="Arial"/>
          <w:noProof/>
          <w:sz w:val="22"/>
        </w:rPr>
        <w:t xml:space="preserve"> KJ, </w:t>
      </w:r>
      <w:r w:rsidRPr="00B001EC">
        <w:rPr>
          <w:rFonts w:ascii="Arial" w:hAnsi="Arial" w:cs="Arial"/>
          <w:smallCaps/>
          <w:noProof/>
          <w:sz w:val="22"/>
        </w:rPr>
        <w:t>Andermann</w:t>
      </w:r>
      <w:r w:rsidRPr="00B001EC">
        <w:rPr>
          <w:rFonts w:ascii="Arial" w:hAnsi="Arial" w:cs="Arial"/>
          <w:noProof/>
          <w:sz w:val="22"/>
        </w:rPr>
        <w:t xml:space="preserve"> M, </w:t>
      </w:r>
      <w:r w:rsidRPr="00B001EC">
        <w:rPr>
          <w:rFonts w:ascii="Arial" w:hAnsi="Arial" w:cs="Arial"/>
          <w:smallCaps/>
          <w:noProof/>
          <w:sz w:val="22"/>
        </w:rPr>
        <w:t>Koulis</w:t>
      </w:r>
      <w:r w:rsidRPr="00B001EC">
        <w:rPr>
          <w:rFonts w:ascii="Arial" w:hAnsi="Arial" w:cs="Arial"/>
          <w:noProof/>
          <w:sz w:val="22"/>
        </w:rPr>
        <w:t xml:space="preserve"> T, </w:t>
      </w:r>
      <w:r w:rsidRPr="00B001EC">
        <w:rPr>
          <w:rFonts w:ascii="Arial" w:hAnsi="Arial" w:cs="Arial"/>
          <w:smallCaps/>
          <w:noProof/>
          <w:sz w:val="22"/>
        </w:rPr>
        <w:t>MacDonald</w:t>
      </w:r>
      <w:r w:rsidRPr="00B001EC">
        <w:rPr>
          <w:rFonts w:ascii="Arial" w:hAnsi="Arial" w:cs="Arial"/>
          <w:noProof/>
          <w:sz w:val="22"/>
        </w:rPr>
        <w:t xml:space="preserve"> D, </w:t>
      </w:r>
      <w:r w:rsidRPr="00B001EC">
        <w:rPr>
          <w:rFonts w:ascii="Arial" w:hAnsi="Arial" w:cs="Arial"/>
          <w:smallCaps/>
          <w:noProof/>
          <w:sz w:val="22"/>
        </w:rPr>
        <w:t>Evans</w:t>
      </w:r>
      <w:r w:rsidRPr="00B001EC">
        <w:rPr>
          <w:rFonts w:ascii="Arial" w:hAnsi="Arial" w:cs="Arial"/>
          <w:noProof/>
          <w:sz w:val="22"/>
        </w:rPr>
        <w:t xml:space="preserve"> AC. Detecting changes in nonisotropic images. Hum Brain Mapp 1999;</w:t>
      </w:r>
      <w:r w:rsidRPr="00B001EC">
        <w:rPr>
          <w:rFonts w:ascii="Arial" w:hAnsi="Arial" w:cs="Arial"/>
          <w:b/>
          <w:bCs/>
          <w:noProof/>
          <w:sz w:val="22"/>
        </w:rPr>
        <w:t>8</w:t>
      </w:r>
      <w:r w:rsidRPr="00B001EC">
        <w:rPr>
          <w:rFonts w:ascii="Arial" w:hAnsi="Arial" w:cs="Arial"/>
          <w:noProof/>
          <w:sz w:val="22"/>
        </w:rPr>
        <w:t>:98–101.</w:t>
      </w:r>
    </w:p>
    <w:p w14:paraId="3F694757"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40.</w:t>
      </w:r>
      <w:r w:rsidRPr="00B001EC">
        <w:rPr>
          <w:rFonts w:ascii="Arial" w:hAnsi="Arial" w:cs="Arial"/>
          <w:noProof/>
          <w:sz w:val="22"/>
        </w:rPr>
        <w:tab/>
      </w:r>
      <w:r w:rsidRPr="00B001EC">
        <w:rPr>
          <w:rFonts w:ascii="Arial" w:hAnsi="Arial" w:cs="Arial"/>
          <w:smallCaps/>
          <w:noProof/>
          <w:sz w:val="22"/>
        </w:rPr>
        <w:t>Reinders</w:t>
      </w:r>
      <w:r w:rsidRPr="00B001EC">
        <w:rPr>
          <w:rFonts w:ascii="Arial" w:hAnsi="Arial" w:cs="Arial"/>
          <w:noProof/>
          <w:sz w:val="22"/>
        </w:rPr>
        <w:t xml:space="preserve"> AATS, </w:t>
      </w:r>
      <w:r w:rsidRPr="00B001EC">
        <w:rPr>
          <w:rFonts w:ascii="Arial" w:hAnsi="Arial" w:cs="Arial"/>
          <w:smallCaps/>
          <w:noProof/>
          <w:sz w:val="22"/>
        </w:rPr>
        <w:t>Nijenhuis</w:t>
      </w:r>
      <w:r w:rsidRPr="00B001EC">
        <w:rPr>
          <w:rFonts w:ascii="Arial" w:hAnsi="Arial" w:cs="Arial"/>
          <w:noProof/>
          <w:sz w:val="22"/>
        </w:rPr>
        <w:t xml:space="preserve"> ERS, </w:t>
      </w:r>
      <w:r w:rsidRPr="00B001EC">
        <w:rPr>
          <w:rFonts w:ascii="Arial" w:hAnsi="Arial" w:cs="Arial"/>
          <w:smallCaps/>
          <w:noProof/>
          <w:sz w:val="22"/>
        </w:rPr>
        <w:t>Paans</w:t>
      </w:r>
      <w:r w:rsidRPr="00B001EC">
        <w:rPr>
          <w:rFonts w:ascii="Arial" w:hAnsi="Arial" w:cs="Arial"/>
          <w:noProof/>
          <w:sz w:val="22"/>
        </w:rPr>
        <w:t xml:space="preserve"> AMJ, </w:t>
      </w:r>
      <w:r w:rsidRPr="00B001EC">
        <w:rPr>
          <w:rFonts w:ascii="Arial" w:hAnsi="Arial" w:cs="Arial"/>
          <w:smallCaps/>
          <w:noProof/>
          <w:sz w:val="22"/>
        </w:rPr>
        <w:t>Korf</w:t>
      </w:r>
      <w:r w:rsidRPr="00B001EC">
        <w:rPr>
          <w:rFonts w:ascii="Arial" w:hAnsi="Arial" w:cs="Arial"/>
          <w:noProof/>
          <w:sz w:val="22"/>
        </w:rPr>
        <w:t xml:space="preserve"> J, </w:t>
      </w:r>
      <w:r w:rsidRPr="00B001EC">
        <w:rPr>
          <w:rFonts w:ascii="Arial" w:hAnsi="Arial" w:cs="Arial"/>
          <w:smallCaps/>
          <w:noProof/>
          <w:sz w:val="22"/>
        </w:rPr>
        <w:t>Willemsen</w:t>
      </w:r>
      <w:r w:rsidRPr="00B001EC">
        <w:rPr>
          <w:rFonts w:ascii="Arial" w:hAnsi="Arial" w:cs="Arial"/>
          <w:noProof/>
          <w:sz w:val="22"/>
        </w:rPr>
        <w:t xml:space="preserve"> ATM, </w:t>
      </w:r>
      <w:r w:rsidRPr="00B001EC">
        <w:rPr>
          <w:rFonts w:ascii="Arial" w:hAnsi="Arial" w:cs="Arial"/>
          <w:smallCaps/>
          <w:noProof/>
          <w:sz w:val="22"/>
        </w:rPr>
        <w:t>den</w:t>
      </w:r>
      <w:r w:rsidRPr="00B001EC">
        <w:rPr>
          <w:rFonts w:ascii="Arial" w:hAnsi="Arial" w:cs="Arial"/>
          <w:noProof/>
          <w:sz w:val="22"/>
        </w:rPr>
        <w:t xml:space="preserve"> </w:t>
      </w:r>
      <w:r w:rsidRPr="00B001EC">
        <w:rPr>
          <w:rFonts w:ascii="Arial" w:hAnsi="Arial" w:cs="Arial"/>
          <w:smallCaps/>
          <w:noProof/>
          <w:sz w:val="22"/>
        </w:rPr>
        <w:t>Boer</w:t>
      </w:r>
      <w:r w:rsidRPr="00B001EC">
        <w:rPr>
          <w:rFonts w:ascii="Arial" w:hAnsi="Arial" w:cs="Arial"/>
          <w:noProof/>
          <w:sz w:val="22"/>
        </w:rPr>
        <w:t xml:space="preserve"> JA. One brain, two selves. Neuroimage 2003;</w:t>
      </w:r>
      <w:r w:rsidRPr="00B001EC">
        <w:rPr>
          <w:rFonts w:ascii="Arial" w:hAnsi="Arial" w:cs="Arial"/>
          <w:b/>
          <w:bCs/>
          <w:noProof/>
          <w:sz w:val="22"/>
        </w:rPr>
        <w:t>20</w:t>
      </w:r>
      <w:r w:rsidRPr="00B001EC">
        <w:rPr>
          <w:rFonts w:ascii="Arial" w:hAnsi="Arial" w:cs="Arial"/>
          <w:noProof/>
          <w:sz w:val="22"/>
        </w:rPr>
        <w:t>:2119–2125.</w:t>
      </w:r>
    </w:p>
    <w:p w14:paraId="44E2BB1B"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41.</w:t>
      </w:r>
      <w:r w:rsidRPr="00B001EC">
        <w:rPr>
          <w:rFonts w:ascii="Arial" w:hAnsi="Arial" w:cs="Arial"/>
          <w:noProof/>
          <w:sz w:val="22"/>
        </w:rPr>
        <w:tab/>
      </w:r>
      <w:r w:rsidRPr="00B001EC">
        <w:rPr>
          <w:rFonts w:ascii="Arial" w:hAnsi="Arial" w:cs="Arial"/>
          <w:smallCaps/>
          <w:noProof/>
          <w:sz w:val="22"/>
        </w:rPr>
        <w:t>Reinders</w:t>
      </w:r>
      <w:r w:rsidRPr="00B001EC">
        <w:rPr>
          <w:rFonts w:ascii="Arial" w:hAnsi="Arial" w:cs="Arial"/>
          <w:noProof/>
          <w:sz w:val="22"/>
        </w:rPr>
        <w:t xml:space="preserve"> AATS, </w:t>
      </w:r>
      <w:r w:rsidRPr="00B001EC">
        <w:rPr>
          <w:rFonts w:ascii="Arial" w:hAnsi="Arial" w:cs="Arial"/>
          <w:smallCaps/>
          <w:noProof/>
          <w:sz w:val="22"/>
        </w:rPr>
        <w:t>Nijenhuis</w:t>
      </w:r>
      <w:r w:rsidRPr="00B001EC">
        <w:rPr>
          <w:rFonts w:ascii="Arial" w:hAnsi="Arial" w:cs="Arial"/>
          <w:noProof/>
          <w:sz w:val="22"/>
        </w:rPr>
        <w:t xml:space="preserve"> ERS, </w:t>
      </w:r>
      <w:r w:rsidRPr="00B001EC">
        <w:rPr>
          <w:rFonts w:ascii="Arial" w:hAnsi="Arial" w:cs="Arial"/>
          <w:smallCaps/>
          <w:noProof/>
          <w:sz w:val="22"/>
        </w:rPr>
        <w:t>Quak</w:t>
      </w:r>
      <w:r w:rsidRPr="00B001EC">
        <w:rPr>
          <w:rFonts w:ascii="Arial" w:hAnsi="Arial" w:cs="Arial"/>
          <w:noProof/>
          <w:sz w:val="22"/>
        </w:rPr>
        <w:t xml:space="preserve"> J et al. Psychobiological characteristics of dissociative identity disorder: a symptom provocation study. Biol Psychiatry 2006;</w:t>
      </w:r>
      <w:r w:rsidRPr="00B001EC">
        <w:rPr>
          <w:rFonts w:ascii="Arial" w:hAnsi="Arial" w:cs="Arial"/>
          <w:b/>
          <w:bCs/>
          <w:noProof/>
          <w:sz w:val="22"/>
        </w:rPr>
        <w:t>60</w:t>
      </w:r>
      <w:r w:rsidRPr="00B001EC">
        <w:rPr>
          <w:rFonts w:ascii="Arial" w:hAnsi="Arial" w:cs="Arial"/>
          <w:noProof/>
          <w:sz w:val="22"/>
        </w:rPr>
        <w:t>:730–740.</w:t>
      </w:r>
    </w:p>
    <w:p w14:paraId="4930E73B"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42.</w:t>
      </w:r>
      <w:r w:rsidRPr="00B001EC">
        <w:rPr>
          <w:rFonts w:ascii="Arial" w:hAnsi="Arial" w:cs="Arial"/>
          <w:noProof/>
          <w:sz w:val="22"/>
        </w:rPr>
        <w:tab/>
      </w:r>
      <w:r w:rsidRPr="00B001EC">
        <w:rPr>
          <w:rFonts w:ascii="Arial" w:hAnsi="Arial" w:cs="Arial"/>
          <w:smallCaps/>
          <w:noProof/>
          <w:sz w:val="22"/>
        </w:rPr>
        <w:t>Reinders</w:t>
      </w:r>
      <w:r w:rsidRPr="00B001EC">
        <w:rPr>
          <w:rFonts w:ascii="Arial" w:hAnsi="Arial" w:cs="Arial"/>
          <w:noProof/>
          <w:sz w:val="22"/>
        </w:rPr>
        <w:t xml:space="preserve"> AATS, </w:t>
      </w:r>
      <w:r w:rsidRPr="00B001EC">
        <w:rPr>
          <w:rFonts w:ascii="Arial" w:hAnsi="Arial" w:cs="Arial"/>
          <w:smallCaps/>
          <w:noProof/>
          <w:sz w:val="22"/>
        </w:rPr>
        <w:t>Willemsen</w:t>
      </w:r>
      <w:r w:rsidRPr="00B001EC">
        <w:rPr>
          <w:rFonts w:ascii="Arial" w:hAnsi="Arial" w:cs="Arial"/>
          <w:noProof/>
          <w:sz w:val="22"/>
        </w:rPr>
        <w:t xml:space="preserve"> ATM, </w:t>
      </w:r>
      <w:r w:rsidRPr="00B001EC">
        <w:rPr>
          <w:rFonts w:ascii="Arial" w:hAnsi="Arial" w:cs="Arial"/>
          <w:smallCaps/>
          <w:noProof/>
          <w:sz w:val="22"/>
        </w:rPr>
        <w:t>Vos</w:t>
      </w:r>
      <w:r w:rsidRPr="00B001EC">
        <w:rPr>
          <w:rFonts w:ascii="Arial" w:hAnsi="Arial" w:cs="Arial"/>
          <w:noProof/>
          <w:sz w:val="22"/>
        </w:rPr>
        <w:t xml:space="preserve"> HPJ, </w:t>
      </w:r>
      <w:r w:rsidRPr="00B001EC">
        <w:rPr>
          <w:rFonts w:ascii="Arial" w:hAnsi="Arial" w:cs="Arial"/>
          <w:smallCaps/>
          <w:noProof/>
          <w:sz w:val="22"/>
        </w:rPr>
        <w:t>den</w:t>
      </w:r>
      <w:r w:rsidRPr="00B001EC">
        <w:rPr>
          <w:rFonts w:ascii="Arial" w:hAnsi="Arial" w:cs="Arial"/>
          <w:noProof/>
          <w:sz w:val="22"/>
        </w:rPr>
        <w:t xml:space="preserve"> </w:t>
      </w:r>
      <w:r w:rsidRPr="00B001EC">
        <w:rPr>
          <w:rFonts w:ascii="Arial" w:hAnsi="Arial" w:cs="Arial"/>
          <w:smallCaps/>
          <w:noProof/>
          <w:sz w:val="22"/>
        </w:rPr>
        <w:t>Boer</w:t>
      </w:r>
      <w:r w:rsidRPr="00B001EC">
        <w:rPr>
          <w:rFonts w:ascii="Arial" w:hAnsi="Arial" w:cs="Arial"/>
          <w:noProof/>
          <w:sz w:val="22"/>
        </w:rPr>
        <w:t xml:space="preserve"> JA, </w:t>
      </w:r>
      <w:r w:rsidRPr="00B001EC">
        <w:rPr>
          <w:rFonts w:ascii="Arial" w:hAnsi="Arial" w:cs="Arial"/>
          <w:smallCaps/>
          <w:noProof/>
          <w:sz w:val="22"/>
        </w:rPr>
        <w:t>Nijenhuis</w:t>
      </w:r>
      <w:r w:rsidRPr="00B001EC">
        <w:rPr>
          <w:rFonts w:ascii="Arial" w:hAnsi="Arial" w:cs="Arial"/>
          <w:noProof/>
          <w:sz w:val="22"/>
        </w:rPr>
        <w:t xml:space="preserve"> ERS. Fact or factitious? A psychobiological study of authentic and simulated dissociative identity states. PLoS One 2012;</w:t>
      </w:r>
      <w:r w:rsidRPr="00B001EC">
        <w:rPr>
          <w:rFonts w:ascii="Arial" w:hAnsi="Arial" w:cs="Arial"/>
          <w:b/>
          <w:bCs/>
          <w:noProof/>
          <w:sz w:val="22"/>
        </w:rPr>
        <w:t>7</w:t>
      </w:r>
      <w:r w:rsidRPr="00B001EC">
        <w:rPr>
          <w:rFonts w:ascii="Arial" w:hAnsi="Arial" w:cs="Arial"/>
          <w:noProof/>
          <w:sz w:val="22"/>
        </w:rPr>
        <w:t>:e39279.</w:t>
      </w:r>
    </w:p>
    <w:p w14:paraId="742395E7"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43.</w:t>
      </w:r>
      <w:r w:rsidRPr="00B001EC">
        <w:rPr>
          <w:rFonts w:ascii="Arial" w:hAnsi="Arial" w:cs="Arial"/>
          <w:noProof/>
          <w:sz w:val="22"/>
        </w:rPr>
        <w:tab/>
      </w:r>
      <w:r w:rsidRPr="00B001EC">
        <w:rPr>
          <w:rFonts w:ascii="Arial" w:hAnsi="Arial" w:cs="Arial"/>
          <w:smallCaps/>
          <w:noProof/>
          <w:sz w:val="22"/>
        </w:rPr>
        <w:t>Rakic</w:t>
      </w:r>
      <w:r w:rsidRPr="00B001EC">
        <w:rPr>
          <w:rFonts w:ascii="Arial" w:hAnsi="Arial" w:cs="Arial"/>
          <w:noProof/>
          <w:sz w:val="22"/>
        </w:rPr>
        <w:t xml:space="preserve"> P. A small step for the cell, a giant leap for mankind: a hypothesis of neocortical expansion during evolution. Trends Neurosci 1995;</w:t>
      </w:r>
      <w:r w:rsidRPr="00B001EC">
        <w:rPr>
          <w:rFonts w:ascii="Arial" w:hAnsi="Arial" w:cs="Arial"/>
          <w:b/>
          <w:bCs/>
          <w:noProof/>
          <w:sz w:val="22"/>
        </w:rPr>
        <w:t>18</w:t>
      </w:r>
      <w:r w:rsidRPr="00B001EC">
        <w:rPr>
          <w:rFonts w:ascii="Arial" w:hAnsi="Arial" w:cs="Arial"/>
          <w:noProof/>
          <w:sz w:val="22"/>
        </w:rPr>
        <w:t>:383–388.</w:t>
      </w:r>
    </w:p>
    <w:p w14:paraId="143AA619"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44.</w:t>
      </w:r>
      <w:r w:rsidRPr="00B001EC">
        <w:rPr>
          <w:rFonts w:ascii="Arial" w:hAnsi="Arial" w:cs="Arial"/>
          <w:noProof/>
          <w:sz w:val="22"/>
        </w:rPr>
        <w:tab/>
      </w:r>
      <w:r w:rsidRPr="00B001EC">
        <w:rPr>
          <w:rFonts w:ascii="Arial" w:hAnsi="Arial" w:cs="Arial"/>
          <w:smallCaps/>
          <w:noProof/>
          <w:sz w:val="22"/>
        </w:rPr>
        <w:t>Smith</w:t>
      </w:r>
      <w:r w:rsidRPr="00B001EC">
        <w:rPr>
          <w:rFonts w:ascii="Arial" w:hAnsi="Arial" w:cs="Arial"/>
          <w:noProof/>
          <w:sz w:val="22"/>
        </w:rPr>
        <w:t xml:space="preserve"> GN, </w:t>
      </w:r>
      <w:r w:rsidRPr="00B001EC">
        <w:rPr>
          <w:rFonts w:ascii="Arial" w:hAnsi="Arial" w:cs="Arial"/>
          <w:smallCaps/>
          <w:noProof/>
          <w:sz w:val="22"/>
        </w:rPr>
        <w:t>Thornton</w:t>
      </w:r>
      <w:r w:rsidRPr="00B001EC">
        <w:rPr>
          <w:rFonts w:ascii="Arial" w:hAnsi="Arial" w:cs="Arial"/>
          <w:noProof/>
          <w:sz w:val="22"/>
        </w:rPr>
        <w:t xml:space="preserve"> AE, </w:t>
      </w:r>
      <w:r w:rsidRPr="00B001EC">
        <w:rPr>
          <w:rFonts w:ascii="Arial" w:hAnsi="Arial" w:cs="Arial"/>
          <w:smallCaps/>
          <w:noProof/>
          <w:sz w:val="22"/>
        </w:rPr>
        <w:t>Lang</w:t>
      </w:r>
      <w:r w:rsidRPr="00B001EC">
        <w:rPr>
          <w:rFonts w:ascii="Arial" w:hAnsi="Arial" w:cs="Arial"/>
          <w:noProof/>
          <w:sz w:val="22"/>
        </w:rPr>
        <w:t xml:space="preserve"> DJ et al. Cortical morphology and early adverse birth events in men with first-episode psychosis. Psychol Med 2014;</w:t>
      </w:r>
      <w:r w:rsidRPr="00B001EC">
        <w:rPr>
          <w:rFonts w:ascii="Arial" w:hAnsi="Arial" w:cs="Arial"/>
          <w:b/>
          <w:bCs/>
          <w:noProof/>
          <w:sz w:val="22"/>
        </w:rPr>
        <w:t>45</w:t>
      </w:r>
      <w:r w:rsidRPr="00B001EC">
        <w:rPr>
          <w:rFonts w:ascii="Arial" w:hAnsi="Arial" w:cs="Arial"/>
          <w:noProof/>
          <w:sz w:val="22"/>
        </w:rPr>
        <w:t>:1825–1837.</w:t>
      </w:r>
    </w:p>
    <w:p w14:paraId="2902C534"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45.</w:t>
      </w:r>
      <w:r w:rsidRPr="00B001EC">
        <w:rPr>
          <w:rFonts w:ascii="Arial" w:hAnsi="Arial" w:cs="Arial"/>
          <w:noProof/>
          <w:sz w:val="22"/>
        </w:rPr>
        <w:tab/>
      </w:r>
      <w:r w:rsidRPr="00B001EC">
        <w:rPr>
          <w:rFonts w:ascii="Arial" w:hAnsi="Arial" w:cs="Arial"/>
          <w:smallCaps/>
          <w:noProof/>
          <w:sz w:val="22"/>
        </w:rPr>
        <w:t>Hazlett</w:t>
      </w:r>
      <w:r w:rsidRPr="00B001EC">
        <w:rPr>
          <w:rFonts w:ascii="Arial" w:hAnsi="Arial" w:cs="Arial"/>
          <w:noProof/>
          <w:sz w:val="22"/>
        </w:rPr>
        <w:t xml:space="preserve"> HC, </w:t>
      </w:r>
      <w:r w:rsidRPr="00B001EC">
        <w:rPr>
          <w:rFonts w:ascii="Arial" w:hAnsi="Arial" w:cs="Arial"/>
          <w:smallCaps/>
          <w:noProof/>
          <w:sz w:val="22"/>
        </w:rPr>
        <w:t>Poe</w:t>
      </w:r>
      <w:r w:rsidRPr="00B001EC">
        <w:rPr>
          <w:rFonts w:ascii="Arial" w:hAnsi="Arial" w:cs="Arial"/>
          <w:noProof/>
          <w:sz w:val="22"/>
        </w:rPr>
        <w:t xml:space="preserve"> MD, </w:t>
      </w:r>
      <w:r w:rsidRPr="00B001EC">
        <w:rPr>
          <w:rFonts w:ascii="Arial" w:hAnsi="Arial" w:cs="Arial"/>
          <w:smallCaps/>
          <w:noProof/>
          <w:sz w:val="22"/>
        </w:rPr>
        <w:t>Gerig</w:t>
      </w:r>
      <w:r w:rsidRPr="00B001EC">
        <w:rPr>
          <w:rFonts w:ascii="Arial" w:hAnsi="Arial" w:cs="Arial"/>
          <w:noProof/>
          <w:sz w:val="22"/>
        </w:rPr>
        <w:t xml:space="preserve"> G et al. Early brain overgrowth in autism associated </w:t>
      </w:r>
      <w:r w:rsidRPr="00B001EC">
        <w:rPr>
          <w:rFonts w:ascii="Arial" w:hAnsi="Arial" w:cs="Arial"/>
          <w:noProof/>
          <w:sz w:val="22"/>
        </w:rPr>
        <w:lastRenderedPageBreak/>
        <w:t>with an increase in cortical surface area before age 2 years. Arch Gen Psychiatry 2011;</w:t>
      </w:r>
      <w:r w:rsidRPr="00B001EC">
        <w:rPr>
          <w:rFonts w:ascii="Arial" w:hAnsi="Arial" w:cs="Arial"/>
          <w:b/>
          <w:bCs/>
          <w:noProof/>
          <w:sz w:val="22"/>
        </w:rPr>
        <w:t>68</w:t>
      </w:r>
      <w:r w:rsidRPr="00B001EC">
        <w:rPr>
          <w:rFonts w:ascii="Arial" w:hAnsi="Arial" w:cs="Arial"/>
          <w:noProof/>
          <w:sz w:val="22"/>
        </w:rPr>
        <w:t>:467–476.</w:t>
      </w:r>
    </w:p>
    <w:p w14:paraId="6A54379A"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46.</w:t>
      </w:r>
      <w:r w:rsidRPr="00B001EC">
        <w:rPr>
          <w:rFonts w:ascii="Arial" w:hAnsi="Arial" w:cs="Arial"/>
          <w:noProof/>
          <w:sz w:val="22"/>
        </w:rPr>
        <w:tab/>
      </w:r>
      <w:r w:rsidRPr="00B001EC">
        <w:rPr>
          <w:rFonts w:ascii="Arial" w:hAnsi="Arial" w:cs="Arial"/>
          <w:smallCaps/>
          <w:noProof/>
          <w:sz w:val="22"/>
        </w:rPr>
        <w:t>Lanius</w:t>
      </w:r>
      <w:r w:rsidRPr="00B001EC">
        <w:rPr>
          <w:rFonts w:ascii="Arial" w:hAnsi="Arial" w:cs="Arial"/>
          <w:noProof/>
          <w:sz w:val="22"/>
        </w:rPr>
        <w:t xml:space="preserve"> RA, </w:t>
      </w:r>
      <w:r w:rsidRPr="00B001EC">
        <w:rPr>
          <w:rFonts w:ascii="Arial" w:hAnsi="Arial" w:cs="Arial"/>
          <w:smallCaps/>
          <w:noProof/>
          <w:sz w:val="22"/>
        </w:rPr>
        <w:t>Bluhm</w:t>
      </w:r>
      <w:r w:rsidRPr="00B001EC">
        <w:rPr>
          <w:rFonts w:ascii="Arial" w:hAnsi="Arial" w:cs="Arial"/>
          <w:noProof/>
          <w:sz w:val="22"/>
        </w:rPr>
        <w:t xml:space="preserve"> RL, </w:t>
      </w:r>
      <w:r w:rsidRPr="00B001EC">
        <w:rPr>
          <w:rFonts w:ascii="Arial" w:hAnsi="Arial" w:cs="Arial"/>
          <w:smallCaps/>
          <w:noProof/>
          <w:sz w:val="22"/>
        </w:rPr>
        <w:t>Coupland</w:t>
      </w:r>
      <w:r w:rsidRPr="00B001EC">
        <w:rPr>
          <w:rFonts w:ascii="Arial" w:hAnsi="Arial" w:cs="Arial"/>
          <w:noProof/>
          <w:sz w:val="22"/>
        </w:rPr>
        <w:t xml:space="preserve"> NJ et al. Default mode network connectivity as a predictor of post-traumatic stress disorder symptom severity in acutely traumatized subjects. Acta Psychiatr Scand 2010;</w:t>
      </w:r>
      <w:r w:rsidRPr="00B001EC">
        <w:rPr>
          <w:rFonts w:ascii="Arial" w:hAnsi="Arial" w:cs="Arial"/>
          <w:b/>
          <w:bCs/>
          <w:noProof/>
          <w:sz w:val="22"/>
        </w:rPr>
        <w:t>121</w:t>
      </w:r>
      <w:r w:rsidRPr="00B001EC">
        <w:rPr>
          <w:rFonts w:ascii="Arial" w:hAnsi="Arial" w:cs="Arial"/>
          <w:noProof/>
          <w:sz w:val="22"/>
        </w:rPr>
        <w:t>:33–40.</w:t>
      </w:r>
    </w:p>
    <w:p w14:paraId="3BE5F55F"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47.</w:t>
      </w:r>
      <w:r w:rsidRPr="00B001EC">
        <w:rPr>
          <w:rFonts w:ascii="Arial" w:hAnsi="Arial" w:cs="Arial"/>
          <w:noProof/>
          <w:sz w:val="22"/>
        </w:rPr>
        <w:tab/>
      </w:r>
      <w:r w:rsidRPr="00B001EC">
        <w:rPr>
          <w:rFonts w:ascii="Arial" w:hAnsi="Arial" w:cs="Arial"/>
          <w:smallCaps/>
          <w:noProof/>
          <w:sz w:val="22"/>
        </w:rPr>
        <w:t>Cardenas</w:t>
      </w:r>
      <w:r w:rsidRPr="00B001EC">
        <w:rPr>
          <w:rFonts w:ascii="Arial" w:hAnsi="Arial" w:cs="Arial"/>
          <w:noProof/>
          <w:sz w:val="22"/>
        </w:rPr>
        <w:t xml:space="preserve"> VA, </w:t>
      </w:r>
      <w:r w:rsidRPr="00B001EC">
        <w:rPr>
          <w:rFonts w:ascii="Arial" w:hAnsi="Arial" w:cs="Arial"/>
          <w:smallCaps/>
          <w:noProof/>
          <w:sz w:val="22"/>
        </w:rPr>
        <w:t>Samuelson</w:t>
      </w:r>
      <w:r w:rsidRPr="00B001EC">
        <w:rPr>
          <w:rFonts w:ascii="Arial" w:hAnsi="Arial" w:cs="Arial"/>
          <w:noProof/>
          <w:sz w:val="22"/>
        </w:rPr>
        <w:t xml:space="preserve"> K, </w:t>
      </w:r>
      <w:r w:rsidRPr="00B001EC">
        <w:rPr>
          <w:rFonts w:ascii="Arial" w:hAnsi="Arial" w:cs="Arial"/>
          <w:smallCaps/>
          <w:noProof/>
          <w:sz w:val="22"/>
        </w:rPr>
        <w:t>Lenoci</w:t>
      </w:r>
      <w:r w:rsidRPr="00B001EC">
        <w:rPr>
          <w:rFonts w:ascii="Arial" w:hAnsi="Arial" w:cs="Arial"/>
          <w:noProof/>
          <w:sz w:val="22"/>
        </w:rPr>
        <w:t xml:space="preserve"> M et al. Changes in brain anatomy during the course of posttraumatic stress disorder. Psychiatry Res 2011;</w:t>
      </w:r>
      <w:r w:rsidRPr="00B001EC">
        <w:rPr>
          <w:rFonts w:ascii="Arial" w:hAnsi="Arial" w:cs="Arial"/>
          <w:b/>
          <w:bCs/>
          <w:noProof/>
          <w:sz w:val="22"/>
        </w:rPr>
        <w:t>193</w:t>
      </w:r>
      <w:r w:rsidRPr="00B001EC">
        <w:rPr>
          <w:rFonts w:ascii="Arial" w:hAnsi="Arial" w:cs="Arial"/>
          <w:noProof/>
          <w:sz w:val="22"/>
        </w:rPr>
        <w:t>:93–100.</w:t>
      </w:r>
    </w:p>
    <w:p w14:paraId="000322F8"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48.</w:t>
      </w:r>
      <w:r w:rsidRPr="00B001EC">
        <w:rPr>
          <w:rFonts w:ascii="Arial" w:hAnsi="Arial" w:cs="Arial"/>
          <w:noProof/>
          <w:sz w:val="22"/>
        </w:rPr>
        <w:tab/>
      </w:r>
      <w:r w:rsidRPr="00B001EC">
        <w:rPr>
          <w:rFonts w:ascii="Arial" w:hAnsi="Arial" w:cs="Arial"/>
          <w:smallCaps/>
          <w:noProof/>
          <w:sz w:val="22"/>
        </w:rPr>
        <w:t>Kühn</w:t>
      </w:r>
      <w:r w:rsidRPr="00B001EC">
        <w:rPr>
          <w:rFonts w:ascii="Arial" w:hAnsi="Arial" w:cs="Arial"/>
          <w:noProof/>
          <w:sz w:val="22"/>
        </w:rPr>
        <w:t xml:space="preserve"> S, </w:t>
      </w:r>
      <w:r w:rsidRPr="00B001EC">
        <w:rPr>
          <w:rFonts w:ascii="Arial" w:hAnsi="Arial" w:cs="Arial"/>
          <w:smallCaps/>
          <w:noProof/>
          <w:sz w:val="22"/>
        </w:rPr>
        <w:t>Gallinat</w:t>
      </w:r>
      <w:r w:rsidRPr="00B001EC">
        <w:rPr>
          <w:rFonts w:ascii="Arial" w:hAnsi="Arial" w:cs="Arial"/>
          <w:noProof/>
          <w:sz w:val="22"/>
        </w:rPr>
        <w:t xml:space="preserve"> J. Gray matter correlates of posttraumatic stress disorder: a quantitative meta-analysis. Biol Psychiatry 2013;</w:t>
      </w:r>
      <w:r w:rsidRPr="00B001EC">
        <w:rPr>
          <w:rFonts w:ascii="Arial" w:hAnsi="Arial" w:cs="Arial"/>
          <w:b/>
          <w:bCs/>
          <w:noProof/>
          <w:sz w:val="22"/>
        </w:rPr>
        <w:t>73</w:t>
      </w:r>
      <w:r w:rsidRPr="00B001EC">
        <w:rPr>
          <w:rFonts w:ascii="Arial" w:hAnsi="Arial" w:cs="Arial"/>
          <w:noProof/>
          <w:sz w:val="22"/>
        </w:rPr>
        <w:t>:70–74.</w:t>
      </w:r>
    </w:p>
    <w:p w14:paraId="13613553"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49.</w:t>
      </w:r>
      <w:r w:rsidRPr="00B001EC">
        <w:rPr>
          <w:rFonts w:ascii="Arial" w:hAnsi="Arial" w:cs="Arial"/>
          <w:noProof/>
          <w:sz w:val="22"/>
        </w:rPr>
        <w:tab/>
      </w:r>
      <w:r w:rsidRPr="00B001EC">
        <w:rPr>
          <w:rFonts w:ascii="Arial" w:hAnsi="Arial" w:cs="Arial"/>
          <w:smallCaps/>
          <w:noProof/>
          <w:sz w:val="22"/>
        </w:rPr>
        <w:t>Meng</w:t>
      </w:r>
      <w:r w:rsidRPr="00B001EC">
        <w:rPr>
          <w:rFonts w:ascii="Arial" w:hAnsi="Arial" w:cs="Arial"/>
          <w:noProof/>
          <w:sz w:val="22"/>
        </w:rPr>
        <w:t xml:space="preserve"> Y, </w:t>
      </w:r>
      <w:r w:rsidRPr="00B001EC">
        <w:rPr>
          <w:rFonts w:ascii="Arial" w:hAnsi="Arial" w:cs="Arial"/>
          <w:smallCaps/>
          <w:noProof/>
          <w:sz w:val="22"/>
        </w:rPr>
        <w:t>Qiu</w:t>
      </w:r>
      <w:r w:rsidRPr="00B001EC">
        <w:rPr>
          <w:rFonts w:ascii="Arial" w:hAnsi="Arial" w:cs="Arial"/>
          <w:noProof/>
          <w:sz w:val="22"/>
        </w:rPr>
        <w:t xml:space="preserve"> C, </w:t>
      </w:r>
      <w:r w:rsidRPr="00B001EC">
        <w:rPr>
          <w:rFonts w:ascii="Arial" w:hAnsi="Arial" w:cs="Arial"/>
          <w:smallCaps/>
          <w:noProof/>
          <w:sz w:val="22"/>
        </w:rPr>
        <w:t>Zhu</w:t>
      </w:r>
      <w:r w:rsidRPr="00B001EC">
        <w:rPr>
          <w:rFonts w:ascii="Arial" w:hAnsi="Arial" w:cs="Arial"/>
          <w:noProof/>
          <w:sz w:val="22"/>
        </w:rPr>
        <w:t xml:space="preserve"> H et al. Anatomical deficits in adult posttraumatic stress disorder: a meta-analysis of voxel-based morphometry studies. Behav Brain Res 2014;</w:t>
      </w:r>
      <w:r w:rsidRPr="00B001EC">
        <w:rPr>
          <w:rFonts w:ascii="Arial" w:hAnsi="Arial" w:cs="Arial"/>
          <w:b/>
          <w:bCs/>
          <w:noProof/>
          <w:sz w:val="22"/>
        </w:rPr>
        <w:t>270</w:t>
      </w:r>
      <w:r w:rsidRPr="00B001EC">
        <w:rPr>
          <w:rFonts w:ascii="Arial" w:hAnsi="Arial" w:cs="Arial"/>
          <w:noProof/>
          <w:sz w:val="22"/>
        </w:rPr>
        <w:t>:307–315.</w:t>
      </w:r>
    </w:p>
    <w:p w14:paraId="13477198"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50.</w:t>
      </w:r>
      <w:r w:rsidRPr="00B001EC">
        <w:rPr>
          <w:rFonts w:ascii="Arial" w:hAnsi="Arial" w:cs="Arial"/>
          <w:noProof/>
          <w:sz w:val="22"/>
        </w:rPr>
        <w:tab/>
      </w:r>
      <w:r w:rsidRPr="00B001EC">
        <w:rPr>
          <w:rFonts w:ascii="Arial" w:hAnsi="Arial" w:cs="Arial"/>
          <w:smallCaps/>
          <w:noProof/>
          <w:sz w:val="22"/>
        </w:rPr>
        <w:t>Forrest</w:t>
      </w:r>
      <w:r w:rsidRPr="00B001EC">
        <w:rPr>
          <w:rFonts w:ascii="Arial" w:hAnsi="Arial" w:cs="Arial"/>
          <w:noProof/>
          <w:sz w:val="22"/>
        </w:rPr>
        <w:t xml:space="preserve"> KA. Toward an etiology of dissociative identity disorder: a neurodevelopmental approach. Conscious Cogn 2001;</w:t>
      </w:r>
      <w:r w:rsidRPr="00B001EC">
        <w:rPr>
          <w:rFonts w:ascii="Arial" w:hAnsi="Arial" w:cs="Arial"/>
          <w:b/>
          <w:bCs/>
          <w:noProof/>
          <w:sz w:val="22"/>
        </w:rPr>
        <w:t>10</w:t>
      </w:r>
      <w:r w:rsidRPr="00B001EC">
        <w:rPr>
          <w:rFonts w:ascii="Arial" w:hAnsi="Arial" w:cs="Arial"/>
          <w:noProof/>
          <w:sz w:val="22"/>
        </w:rPr>
        <w:t>:259–293.</w:t>
      </w:r>
    </w:p>
    <w:p w14:paraId="36DD9D9D"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51.</w:t>
      </w:r>
      <w:r w:rsidRPr="00B001EC">
        <w:rPr>
          <w:rFonts w:ascii="Arial" w:hAnsi="Arial" w:cs="Arial"/>
          <w:noProof/>
          <w:sz w:val="22"/>
        </w:rPr>
        <w:tab/>
      </w:r>
      <w:r w:rsidRPr="00B001EC">
        <w:rPr>
          <w:rFonts w:ascii="Arial" w:hAnsi="Arial" w:cs="Arial"/>
          <w:smallCaps/>
          <w:noProof/>
          <w:sz w:val="22"/>
        </w:rPr>
        <w:t>Schore</w:t>
      </w:r>
      <w:r w:rsidRPr="00B001EC">
        <w:rPr>
          <w:rFonts w:ascii="Arial" w:hAnsi="Arial" w:cs="Arial"/>
          <w:noProof/>
          <w:sz w:val="22"/>
        </w:rPr>
        <w:t xml:space="preserve"> AN. </w:t>
      </w:r>
      <w:r w:rsidRPr="00B001EC">
        <w:rPr>
          <w:rFonts w:ascii="Arial" w:hAnsi="Arial" w:cs="Arial"/>
          <w:i/>
          <w:iCs/>
          <w:noProof/>
          <w:sz w:val="22"/>
        </w:rPr>
        <w:t>Affect Regulation and the Origin of the Self: The Neurobiology of Emotional Development</w:t>
      </w:r>
      <w:r w:rsidRPr="00B001EC">
        <w:rPr>
          <w:rFonts w:ascii="Arial" w:hAnsi="Arial" w:cs="Arial"/>
          <w:noProof/>
          <w:sz w:val="22"/>
        </w:rPr>
        <w:t>. New York, London: Psychology Press, 2012</w:t>
      </w:r>
    </w:p>
    <w:p w14:paraId="6EF45381"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52.</w:t>
      </w:r>
      <w:r w:rsidRPr="00B001EC">
        <w:rPr>
          <w:rFonts w:ascii="Arial" w:hAnsi="Arial" w:cs="Arial"/>
          <w:noProof/>
          <w:sz w:val="22"/>
        </w:rPr>
        <w:tab/>
      </w:r>
      <w:r w:rsidRPr="00B001EC">
        <w:rPr>
          <w:rFonts w:ascii="Arial" w:hAnsi="Arial" w:cs="Arial"/>
          <w:smallCaps/>
          <w:noProof/>
          <w:sz w:val="22"/>
        </w:rPr>
        <w:t>Tsoory</w:t>
      </w:r>
      <w:r w:rsidRPr="00B001EC">
        <w:rPr>
          <w:rFonts w:ascii="Arial" w:hAnsi="Arial" w:cs="Arial"/>
          <w:noProof/>
          <w:sz w:val="22"/>
        </w:rPr>
        <w:t xml:space="preserve"> M, </w:t>
      </w:r>
      <w:r w:rsidRPr="00B001EC">
        <w:rPr>
          <w:rFonts w:ascii="Arial" w:hAnsi="Arial" w:cs="Arial"/>
          <w:smallCaps/>
          <w:noProof/>
          <w:sz w:val="22"/>
        </w:rPr>
        <w:t>Guterman</w:t>
      </w:r>
      <w:r w:rsidRPr="00B001EC">
        <w:rPr>
          <w:rFonts w:ascii="Arial" w:hAnsi="Arial" w:cs="Arial"/>
          <w:noProof/>
          <w:sz w:val="22"/>
        </w:rPr>
        <w:t xml:space="preserve"> A, </w:t>
      </w:r>
      <w:r w:rsidRPr="00B001EC">
        <w:rPr>
          <w:rFonts w:ascii="Arial" w:hAnsi="Arial" w:cs="Arial"/>
          <w:smallCaps/>
          <w:noProof/>
          <w:sz w:val="22"/>
        </w:rPr>
        <w:t>Richter-Levin</w:t>
      </w:r>
      <w:r w:rsidRPr="00B001EC">
        <w:rPr>
          <w:rFonts w:ascii="Arial" w:hAnsi="Arial" w:cs="Arial"/>
          <w:noProof/>
          <w:sz w:val="22"/>
        </w:rPr>
        <w:t xml:space="preserve"> G. Exposure to stressors during juvenility disrupts development-related alterations in the PSA-NCAM to NCAM expression ratio: potential relevance for mood and anxiety disorders. Neuropsychopharmacology 2008;</w:t>
      </w:r>
      <w:r w:rsidRPr="00B001EC">
        <w:rPr>
          <w:rFonts w:ascii="Arial" w:hAnsi="Arial" w:cs="Arial"/>
          <w:b/>
          <w:bCs/>
          <w:noProof/>
          <w:sz w:val="22"/>
        </w:rPr>
        <w:t>33</w:t>
      </w:r>
      <w:r w:rsidRPr="00B001EC">
        <w:rPr>
          <w:rFonts w:ascii="Arial" w:hAnsi="Arial" w:cs="Arial"/>
          <w:noProof/>
          <w:sz w:val="22"/>
        </w:rPr>
        <w:t>:378–393.</w:t>
      </w:r>
    </w:p>
    <w:p w14:paraId="2E347EB1"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53.</w:t>
      </w:r>
      <w:r w:rsidRPr="00B001EC">
        <w:rPr>
          <w:rFonts w:ascii="Arial" w:hAnsi="Arial" w:cs="Arial"/>
          <w:noProof/>
          <w:sz w:val="22"/>
        </w:rPr>
        <w:tab/>
      </w:r>
      <w:r w:rsidRPr="00B001EC">
        <w:rPr>
          <w:rFonts w:ascii="Arial" w:hAnsi="Arial" w:cs="Arial"/>
          <w:smallCaps/>
          <w:noProof/>
          <w:sz w:val="22"/>
        </w:rPr>
        <w:t>Lanius</w:t>
      </w:r>
      <w:r w:rsidRPr="00B001EC">
        <w:rPr>
          <w:rFonts w:ascii="Arial" w:hAnsi="Arial" w:cs="Arial"/>
          <w:noProof/>
          <w:sz w:val="22"/>
        </w:rPr>
        <w:t xml:space="preserve"> RA, </w:t>
      </w:r>
      <w:r w:rsidRPr="00B001EC">
        <w:rPr>
          <w:rFonts w:ascii="Arial" w:hAnsi="Arial" w:cs="Arial"/>
          <w:smallCaps/>
          <w:noProof/>
          <w:sz w:val="22"/>
        </w:rPr>
        <w:t>Vermetten</w:t>
      </w:r>
      <w:r w:rsidRPr="00B001EC">
        <w:rPr>
          <w:rFonts w:ascii="Arial" w:hAnsi="Arial" w:cs="Arial"/>
          <w:noProof/>
          <w:sz w:val="22"/>
        </w:rPr>
        <w:t xml:space="preserve"> E, </w:t>
      </w:r>
      <w:r w:rsidRPr="00B001EC">
        <w:rPr>
          <w:rFonts w:ascii="Arial" w:hAnsi="Arial" w:cs="Arial"/>
          <w:smallCaps/>
          <w:noProof/>
          <w:sz w:val="22"/>
        </w:rPr>
        <w:t>Loewenstein</w:t>
      </w:r>
      <w:r w:rsidRPr="00B001EC">
        <w:rPr>
          <w:rFonts w:ascii="Arial" w:hAnsi="Arial" w:cs="Arial"/>
          <w:noProof/>
          <w:sz w:val="22"/>
        </w:rPr>
        <w:t xml:space="preserve"> RJ et al. Emotion modulation in PTSD: Clinical and neurobiological evidence for a dissociative subtype. Am J Psychiatry 2010;</w:t>
      </w:r>
      <w:r w:rsidRPr="00B001EC">
        <w:rPr>
          <w:rFonts w:ascii="Arial" w:hAnsi="Arial" w:cs="Arial"/>
          <w:b/>
          <w:bCs/>
          <w:noProof/>
          <w:sz w:val="22"/>
        </w:rPr>
        <w:t>167</w:t>
      </w:r>
      <w:r w:rsidRPr="00B001EC">
        <w:rPr>
          <w:rFonts w:ascii="Arial" w:hAnsi="Arial" w:cs="Arial"/>
          <w:noProof/>
          <w:sz w:val="22"/>
        </w:rPr>
        <w:t>:640–647.</w:t>
      </w:r>
    </w:p>
    <w:p w14:paraId="2EED0579"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54.</w:t>
      </w:r>
      <w:r w:rsidRPr="00B001EC">
        <w:rPr>
          <w:rFonts w:ascii="Arial" w:hAnsi="Arial" w:cs="Arial"/>
          <w:noProof/>
          <w:sz w:val="22"/>
        </w:rPr>
        <w:tab/>
      </w:r>
      <w:r w:rsidRPr="00B001EC">
        <w:rPr>
          <w:rFonts w:ascii="Arial" w:hAnsi="Arial" w:cs="Arial"/>
          <w:smallCaps/>
          <w:noProof/>
          <w:sz w:val="22"/>
        </w:rPr>
        <w:t>Schmaal</w:t>
      </w:r>
      <w:r w:rsidRPr="00B001EC">
        <w:rPr>
          <w:rFonts w:ascii="Arial" w:hAnsi="Arial" w:cs="Arial"/>
          <w:noProof/>
          <w:sz w:val="22"/>
        </w:rPr>
        <w:t xml:space="preserve"> L, </w:t>
      </w:r>
      <w:r w:rsidRPr="00B001EC">
        <w:rPr>
          <w:rFonts w:ascii="Arial" w:hAnsi="Arial" w:cs="Arial"/>
          <w:smallCaps/>
          <w:noProof/>
          <w:sz w:val="22"/>
        </w:rPr>
        <w:t>Hibar</w:t>
      </w:r>
      <w:r w:rsidRPr="00B001EC">
        <w:rPr>
          <w:rFonts w:ascii="Arial" w:hAnsi="Arial" w:cs="Arial"/>
          <w:noProof/>
          <w:sz w:val="22"/>
        </w:rPr>
        <w:t xml:space="preserve"> DP, </w:t>
      </w:r>
      <w:r w:rsidRPr="00B001EC">
        <w:rPr>
          <w:rFonts w:ascii="Arial" w:hAnsi="Arial" w:cs="Arial"/>
          <w:smallCaps/>
          <w:noProof/>
          <w:sz w:val="22"/>
        </w:rPr>
        <w:t>Sämann</w:t>
      </w:r>
      <w:r w:rsidRPr="00B001EC">
        <w:rPr>
          <w:rFonts w:ascii="Arial" w:hAnsi="Arial" w:cs="Arial"/>
          <w:noProof/>
          <w:sz w:val="22"/>
        </w:rPr>
        <w:t xml:space="preserve"> PG et al. Cortical abnormalities in adults and adolescents with major depression based on brain scans from 20 cohorts worldwide in the ENIGMA Major Depressive Disorder Working Group. Mol Psychiatry 2017;</w:t>
      </w:r>
      <w:r w:rsidRPr="00B001EC">
        <w:rPr>
          <w:rFonts w:ascii="Arial" w:hAnsi="Arial" w:cs="Arial"/>
          <w:b/>
          <w:bCs/>
          <w:noProof/>
          <w:sz w:val="22"/>
        </w:rPr>
        <w:t>22</w:t>
      </w:r>
      <w:r w:rsidRPr="00B001EC">
        <w:rPr>
          <w:rFonts w:ascii="Arial" w:hAnsi="Arial" w:cs="Arial"/>
          <w:noProof/>
          <w:sz w:val="22"/>
        </w:rPr>
        <w:t>:900–909.</w:t>
      </w:r>
    </w:p>
    <w:p w14:paraId="55F7BD23"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55.</w:t>
      </w:r>
      <w:r w:rsidRPr="00B001EC">
        <w:rPr>
          <w:rFonts w:ascii="Arial" w:hAnsi="Arial" w:cs="Arial"/>
          <w:noProof/>
          <w:sz w:val="22"/>
        </w:rPr>
        <w:tab/>
      </w:r>
      <w:r w:rsidRPr="00B001EC">
        <w:rPr>
          <w:rFonts w:ascii="Arial" w:hAnsi="Arial" w:cs="Arial"/>
          <w:smallCaps/>
          <w:noProof/>
          <w:sz w:val="22"/>
        </w:rPr>
        <w:t>Parlar</w:t>
      </w:r>
      <w:r w:rsidRPr="00B001EC">
        <w:rPr>
          <w:rFonts w:ascii="Arial" w:hAnsi="Arial" w:cs="Arial"/>
          <w:noProof/>
          <w:sz w:val="22"/>
        </w:rPr>
        <w:t xml:space="preserve"> M, </w:t>
      </w:r>
      <w:r w:rsidRPr="00B001EC">
        <w:rPr>
          <w:rFonts w:ascii="Arial" w:hAnsi="Arial" w:cs="Arial"/>
          <w:smallCaps/>
          <w:noProof/>
          <w:sz w:val="22"/>
        </w:rPr>
        <w:t>Densmore</w:t>
      </w:r>
      <w:r w:rsidRPr="00B001EC">
        <w:rPr>
          <w:rFonts w:ascii="Arial" w:hAnsi="Arial" w:cs="Arial"/>
          <w:noProof/>
          <w:sz w:val="22"/>
        </w:rPr>
        <w:t xml:space="preserve"> M, </w:t>
      </w:r>
      <w:r w:rsidRPr="00B001EC">
        <w:rPr>
          <w:rFonts w:ascii="Arial" w:hAnsi="Arial" w:cs="Arial"/>
          <w:smallCaps/>
          <w:noProof/>
          <w:sz w:val="22"/>
        </w:rPr>
        <w:t>Hall</w:t>
      </w:r>
      <w:r w:rsidRPr="00B001EC">
        <w:rPr>
          <w:rFonts w:ascii="Arial" w:hAnsi="Arial" w:cs="Arial"/>
          <w:noProof/>
          <w:sz w:val="22"/>
        </w:rPr>
        <w:t xml:space="preserve"> GBC, </w:t>
      </w:r>
      <w:r w:rsidRPr="00B001EC">
        <w:rPr>
          <w:rFonts w:ascii="Arial" w:hAnsi="Arial" w:cs="Arial"/>
          <w:smallCaps/>
          <w:noProof/>
          <w:sz w:val="22"/>
        </w:rPr>
        <w:t>Lanius</w:t>
      </w:r>
      <w:r w:rsidRPr="00B001EC">
        <w:rPr>
          <w:rFonts w:ascii="Arial" w:hAnsi="Arial" w:cs="Arial"/>
          <w:noProof/>
          <w:sz w:val="22"/>
        </w:rPr>
        <w:t xml:space="preserve"> R, </w:t>
      </w:r>
      <w:r w:rsidRPr="00B001EC">
        <w:rPr>
          <w:rFonts w:ascii="Arial" w:hAnsi="Arial" w:cs="Arial"/>
          <w:smallCaps/>
          <w:noProof/>
          <w:sz w:val="22"/>
        </w:rPr>
        <w:t>McKinnon</w:t>
      </w:r>
      <w:r w:rsidRPr="00B001EC">
        <w:rPr>
          <w:rFonts w:ascii="Arial" w:hAnsi="Arial" w:cs="Arial"/>
          <w:noProof/>
          <w:sz w:val="22"/>
        </w:rPr>
        <w:t xml:space="preserve"> MC. Neural and behavioural correlates of autobiographical memory retrieval in patients with major depressive disorder and a history of trauma exposure. Neuropsychologia Published Online First: 8 July 2017. doi:10.1016/j.neuropsychologia.2017.07.004</w:t>
      </w:r>
    </w:p>
    <w:p w14:paraId="1C1FBAD0"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56.</w:t>
      </w:r>
      <w:r w:rsidRPr="00B001EC">
        <w:rPr>
          <w:rFonts w:ascii="Arial" w:hAnsi="Arial" w:cs="Arial"/>
          <w:noProof/>
          <w:sz w:val="22"/>
        </w:rPr>
        <w:tab/>
      </w:r>
      <w:r w:rsidRPr="00B001EC">
        <w:rPr>
          <w:rFonts w:ascii="Arial" w:hAnsi="Arial" w:cs="Arial"/>
          <w:smallCaps/>
          <w:noProof/>
          <w:sz w:val="22"/>
        </w:rPr>
        <w:t>Armour</w:t>
      </w:r>
      <w:r w:rsidRPr="00B001EC">
        <w:rPr>
          <w:rFonts w:ascii="Arial" w:hAnsi="Arial" w:cs="Arial"/>
          <w:noProof/>
          <w:sz w:val="22"/>
        </w:rPr>
        <w:t xml:space="preserve"> C, </w:t>
      </w:r>
      <w:r w:rsidRPr="00B001EC">
        <w:rPr>
          <w:rFonts w:ascii="Arial" w:hAnsi="Arial" w:cs="Arial"/>
          <w:smallCaps/>
          <w:noProof/>
          <w:sz w:val="22"/>
        </w:rPr>
        <w:t>Karstoft</w:t>
      </w:r>
      <w:r w:rsidRPr="00B001EC">
        <w:rPr>
          <w:rFonts w:ascii="Arial" w:hAnsi="Arial" w:cs="Arial"/>
          <w:noProof/>
          <w:sz w:val="22"/>
        </w:rPr>
        <w:t xml:space="preserve"> K-I, </w:t>
      </w:r>
      <w:r w:rsidRPr="00B001EC">
        <w:rPr>
          <w:rFonts w:ascii="Arial" w:hAnsi="Arial" w:cs="Arial"/>
          <w:smallCaps/>
          <w:noProof/>
          <w:sz w:val="22"/>
        </w:rPr>
        <w:t>Richardson</w:t>
      </w:r>
      <w:r w:rsidRPr="00B001EC">
        <w:rPr>
          <w:rFonts w:ascii="Arial" w:hAnsi="Arial" w:cs="Arial"/>
          <w:noProof/>
          <w:sz w:val="22"/>
        </w:rPr>
        <w:t xml:space="preserve"> JD. The co-occurrence of PTSD and dissociation: differentiating severe PTSD from dissociative-PTSD. Soc Psychiatry Psychiatr Epidemiol 2014;</w:t>
      </w:r>
      <w:r w:rsidRPr="00B001EC">
        <w:rPr>
          <w:rFonts w:ascii="Arial" w:hAnsi="Arial" w:cs="Arial"/>
          <w:b/>
          <w:bCs/>
          <w:noProof/>
          <w:sz w:val="22"/>
        </w:rPr>
        <w:t>49</w:t>
      </w:r>
      <w:r w:rsidRPr="00B001EC">
        <w:rPr>
          <w:rFonts w:ascii="Arial" w:hAnsi="Arial" w:cs="Arial"/>
          <w:noProof/>
          <w:sz w:val="22"/>
        </w:rPr>
        <w:t>:1297–1306.</w:t>
      </w:r>
    </w:p>
    <w:p w14:paraId="084E81E7"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57.</w:t>
      </w:r>
      <w:r w:rsidRPr="00B001EC">
        <w:rPr>
          <w:rFonts w:ascii="Arial" w:hAnsi="Arial" w:cs="Arial"/>
          <w:noProof/>
          <w:sz w:val="22"/>
        </w:rPr>
        <w:tab/>
      </w:r>
      <w:r w:rsidRPr="00B001EC">
        <w:rPr>
          <w:rFonts w:ascii="Arial" w:hAnsi="Arial" w:cs="Arial"/>
          <w:smallCaps/>
          <w:noProof/>
          <w:sz w:val="22"/>
        </w:rPr>
        <w:t>Sar</w:t>
      </w:r>
      <w:r w:rsidRPr="00B001EC">
        <w:rPr>
          <w:rFonts w:ascii="Arial" w:hAnsi="Arial" w:cs="Arial"/>
          <w:noProof/>
          <w:sz w:val="22"/>
        </w:rPr>
        <w:t xml:space="preserve"> V, </w:t>
      </w:r>
      <w:r w:rsidRPr="00B001EC">
        <w:rPr>
          <w:rFonts w:ascii="Arial" w:hAnsi="Arial" w:cs="Arial"/>
          <w:smallCaps/>
          <w:noProof/>
          <w:sz w:val="22"/>
        </w:rPr>
        <w:t>Akyüz</w:t>
      </w:r>
      <w:r w:rsidRPr="00B001EC">
        <w:rPr>
          <w:rFonts w:ascii="Arial" w:hAnsi="Arial" w:cs="Arial"/>
          <w:noProof/>
          <w:sz w:val="22"/>
        </w:rPr>
        <w:t xml:space="preserve"> G, </w:t>
      </w:r>
      <w:r w:rsidRPr="00B001EC">
        <w:rPr>
          <w:rFonts w:ascii="Arial" w:hAnsi="Arial" w:cs="Arial"/>
          <w:smallCaps/>
          <w:noProof/>
          <w:sz w:val="22"/>
        </w:rPr>
        <w:t>Oztürk</w:t>
      </w:r>
      <w:r w:rsidRPr="00B001EC">
        <w:rPr>
          <w:rFonts w:ascii="Arial" w:hAnsi="Arial" w:cs="Arial"/>
          <w:noProof/>
          <w:sz w:val="22"/>
        </w:rPr>
        <w:t xml:space="preserve"> E, </w:t>
      </w:r>
      <w:r w:rsidRPr="00B001EC">
        <w:rPr>
          <w:rFonts w:ascii="Arial" w:hAnsi="Arial" w:cs="Arial"/>
          <w:smallCaps/>
          <w:noProof/>
          <w:sz w:val="22"/>
        </w:rPr>
        <w:t>Alioğlu</w:t>
      </w:r>
      <w:r w:rsidRPr="00B001EC">
        <w:rPr>
          <w:rFonts w:ascii="Arial" w:hAnsi="Arial" w:cs="Arial"/>
          <w:noProof/>
          <w:sz w:val="22"/>
        </w:rPr>
        <w:t xml:space="preserve"> F. Dissociative depression among women in the community. J Trauma Dissociation 2013;</w:t>
      </w:r>
      <w:r w:rsidRPr="00B001EC">
        <w:rPr>
          <w:rFonts w:ascii="Arial" w:hAnsi="Arial" w:cs="Arial"/>
          <w:b/>
          <w:bCs/>
          <w:noProof/>
          <w:sz w:val="22"/>
        </w:rPr>
        <w:t>14</w:t>
      </w:r>
      <w:r w:rsidRPr="00B001EC">
        <w:rPr>
          <w:rFonts w:ascii="Arial" w:hAnsi="Arial" w:cs="Arial"/>
          <w:noProof/>
          <w:sz w:val="22"/>
        </w:rPr>
        <w:t>:423–438.</w:t>
      </w:r>
    </w:p>
    <w:p w14:paraId="46DA2135" w14:textId="77777777" w:rsidR="00B001EC" w:rsidRPr="00B001EC" w:rsidRDefault="00B001EC" w:rsidP="00B001EC">
      <w:pPr>
        <w:widowControl w:val="0"/>
        <w:autoSpaceDE w:val="0"/>
        <w:autoSpaceDN w:val="0"/>
        <w:adjustRightInd w:val="0"/>
        <w:spacing w:line="360" w:lineRule="auto"/>
        <w:ind w:left="640" w:hanging="640"/>
        <w:rPr>
          <w:rFonts w:ascii="Arial" w:hAnsi="Arial" w:cs="Arial"/>
          <w:noProof/>
          <w:sz w:val="22"/>
        </w:rPr>
      </w:pPr>
      <w:r w:rsidRPr="00B001EC">
        <w:rPr>
          <w:rFonts w:ascii="Arial" w:hAnsi="Arial" w:cs="Arial"/>
          <w:noProof/>
          <w:sz w:val="22"/>
        </w:rPr>
        <w:t>58.</w:t>
      </w:r>
      <w:r w:rsidRPr="00B001EC">
        <w:rPr>
          <w:rFonts w:ascii="Arial" w:hAnsi="Arial" w:cs="Arial"/>
          <w:noProof/>
          <w:sz w:val="22"/>
        </w:rPr>
        <w:tab/>
      </w:r>
      <w:r w:rsidRPr="00B001EC">
        <w:rPr>
          <w:rFonts w:ascii="Arial" w:hAnsi="Arial" w:cs="Arial"/>
          <w:smallCaps/>
          <w:noProof/>
          <w:sz w:val="22"/>
        </w:rPr>
        <w:t>Vermetten</w:t>
      </w:r>
      <w:r w:rsidRPr="00B001EC">
        <w:rPr>
          <w:rFonts w:ascii="Arial" w:hAnsi="Arial" w:cs="Arial"/>
          <w:noProof/>
          <w:sz w:val="22"/>
        </w:rPr>
        <w:t xml:space="preserve"> E, </w:t>
      </w:r>
      <w:r w:rsidRPr="00B001EC">
        <w:rPr>
          <w:rFonts w:ascii="Arial" w:hAnsi="Arial" w:cs="Arial"/>
          <w:smallCaps/>
          <w:noProof/>
          <w:sz w:val="22"/>
        </w:rPr>
        <w:t>Spiegel</w:t>
      </w:r>
      <w:r w:rsidRPr="00B001EC">
        <w:rPr>
          <w:rFonts w:ascii="Arial" w:hAnsi="Arial" w:cs="Arial"/>
          <w:noProof/>
          <w:sz w:val="22"/>
        </w:rPr>
        <w:t xml:space="preserve"> D. Trauma and dissociation: implications for borderline </w:t>
      </w:r>
      <w:r w:rsidRPr="00B001EC">
        <w:rPr>
          <w:rFonts w:ascii="Arial" w:hAnsi="Arial" w:cs="Arial"/>
          <w:noProof/>
          <w:sz w:val="22"/>
        </w:rPr>
        <w:lastRenderedPageBreak/>
        <w:t>personality disorder. Curr Psychiatry Rep 2014;</w:t>
      </w:r>
      <w:r w:rsidRPr="00B001EC">
        <w:rPr>
          <w:rFonts w:ascii="Arial" w:hAnsi="Arial" w:cs="Arial"/>
          <w:b/>
          <w:bCs/>
          <w:noProof/>
          <w:sz w:val="22"/>
        </w:rPr>
        <w:t>16</w:t>
      </w:r>
      <w:r w:rsidRPr="00B001EC">
        <w:rPr>
          <w:rFonts w:ascii="Arial" w:hAnsi="Arial" w:cs="Arial"/>
          <w:noProof/>
          <w:sz w:val="22"/>
        </w:rPr>
        <w:t>:434.</w:t>
      </w:r>
    </w:p>
    <w:p w14:paraId="28C092CB" w14:textId="687079AF" w:rsidR="003D3502" w:rsidRDefault="00C1770F" w:rsidP="00B001EC">
      <w:pPr>
        <w:widowControl w:val="0"/>
        <w:autoSpaceDE w:val="0"/>
        <w:autoSpaceDN w:val="0"/>
        <w:adjustRightInd w:val="0"/>
        <w:spacing w:line="360" w:lineRule="auto"/>
        <w:ind w:left="640" w:hanging="640"/>
        <w:rPr>
          <w:rFonts w:ascii="Arial" w:hAnsi="Arial" w:cs="Arial"/>
          <w:b/>
          <w:sz w:val="22"/>
          <w:szCs w:val="22"/>
        </w:rPr>
      </w:pPr>
      <w:r>
        <w:rPr>
          <w:rFonts w:ascii="Arial" w:hAnsi="Arial" w:cs="Arial"/>
          <w:b/>
          <w:sz w:val="22"/>
          <w:szCs w:val="22"/>
        </w:rPr>
        <w:fldChar w:fldCharType="end"/>
      </w:r>
    </w:p>
    <w:p w14:paraId="7313CB7D" w14:textId="7ECC404C" w:rsidR="00CA60B1" w:rsidRDefault="003D3502" w:rsidP="0026613A">
      <w:pPr>
        <w:widowControl w:val="0"/>
        <w:autoSpaceDE w:val="0"/>
        <w:autoSpaceDN w:val="0"/>
        <w:adjustRightInd w:val="0"/>
        <w:spacing w:line="360" w:lineRule="auto"/>
        <w:ind w:left="480" w:hanging="480"/>
        <w:rPr>
          <w:rFonts w:ascii="Arial" w:hAnsi="Arial" w:cs="Arial"/>
          <w:b/>
          <w:sz w:val="22"/>
          <w:szCs w:val="22"/>
        </w:rPr>
      </w:pPr>
      <w:r>
        <w:rPr>
          <w:rFonts w:ascii="Arial" w:hAnsi="Arial" w:cs="Arial"/>
          <w:b/>
          <w:sz w:val="22"/>
          <w:szCs w:val="22"/>
        </w:rPr>
        <w:br w:type="column"/>
      </w:r>
      <w:r w:rsidR="00373A45">
        <w:rPr>
          <w:rFonts w:ascii="Arial" w:hAnsi="Arial" w:cs="Arial"/>
          <w:b/>
          <w:sz w:val="22"/>
          <w:szCs w:val="22"/>
        </w:rPr>
        <w:lastRenderedPageBreak/>
        <w:t>TABLE LEGENDS</w:t>
      </w:r>
    </w:p>
    <w:p w14:paraId="2E8CB35A" w14:textId="2A342271" w:rsidR="00EF1F17" w:rsidRPr="00AC0250" w:rsidRDefault="00EF1F17" w:rsidP="00EF1F17">
      <w:pPr>
        <w:spacing w:line="360" w:lineRule="auto"/>
        <w:rPr>
          <w:rFonts w:ascii="Arial" w:hAnsi="Arial" w:cs="Arial"/>
          <w:sz w:val="22"/>
          <w:szCs w:val="22"/>
        </w:rPr>
      </w:pPr>
      <w:r w:rsidRPr="00AC0250">
        <w:rPr>
          <w:rFonts w:ascii="Arial" w:hAnsi="Arial" w:cs="Arial"/>
          <w:b/>
          <w:sz w:val="22"/>
          <w:szCs w:val="22"/>
        </w:rPr>
        <w:t>Table 1</w:t>
      </w:r>
      <w:r w:rsidRPr="00AC0250">
        <w:rPr>
          <w:rFonts w:ascii="Arial" w:hAnsi="Arial" w:cs="Arial"/>
          <w:sz w:val="22"/>
          <w:szCs w:val="22"/>
        </w:rPr>
        <w:t>: Participant demographics and clinical characteristics.</w:t>
      </w:r>
    </w:p>
    <w:p w14:paraId="17A5CD0F" w14:textId="5B3C9849" w:rsidR="00AD51A6" w:rsidRPr="00295F63" w:rsidRDefault="00EF1F17" w:rsidP="00A263E5">
      <w:pPr>
        <w:spacing w:line="360" w:lineRule="auto"/>
        <w:rPr>
          <w:rFonts w:ascii="Arial" w:hAnsi="Arial" w:cs="Arial"/>
          <w:b/>
          <w:sz w:val="22"/>
          <w:szCs w:val="22"/>
        </w:rPr>
      </w:pPr>
      <w:r w:rsidRPr="00AC0250">
        <w:rPr>
          <w:rFonts w:ascii="Arial" w:hAnsi="Arial" w:cs="Arial"/>
          <w:b/>
          <w:sz w:val="22"/>
          <w:szCs w:val="22"/>
        </w:rPr>
        <w:t>Table 2:</w:t>
      </w:r>
      <w:r w:rsidRPr="00AC0250">
        <w:rPr>
          <w:rFonts w:ascii="Arial" w:hAnsi="Arial" w:cs="Arial"/>
          <w:sz w:val="22"/>
          <w:szCs w:val="22"/>
        </w:rPr>
        <w:t xml:space="preserve"> Experience trauma scores during different stages of childhood in DID patients.</w:t>
      </w:r>
      <w:r w:rsidRPr="00AC0250">
        <w:rPr>
          <w:rFonts w:ascii="Arial" w:hAnsi="Arial" w:cs="Arial"/>
          <w:color w:val="000000" w:themeColor="text1"/>
          <w:sz w:val="22"/>
          <w:szCs w:val="22"/>
        </w:rPr>
        <w:t xml:space="preserve"> </w:t>
      </w:r>
      <w:r w:rsidR="00AD51A6" w:rsidRPr="00295F63">
        <w:rPr>
          <w:rFonts w:ascii="Arial" w:hAnsi="Arial" w:cs="Arial"/>
          <w:b/>
          <w:color w:val="000000"/>
          <w:sz w:val="22"/>
          <w:szCs w:val="22"/>
        </w:rPr>
        <w:t xml:space="preserve">Table </w:t>
      </w:r>
      <w:r w:rsidR="0070710F">
        <w:rPr>
          <w:rFonts w:ascii="Arial" w:hAnsi="Arial" w:cs="Arial"/>
          <w:b/>
          <w:color w:val="000000"/>
          <w:sz w:val="22"/>
          <w:szCs w:val="22"/>
        </w:rPr>
        <w:t>3</w:t>
      </w:r>
      <w:r w:rsidR="00AD51A6" w:rsidRPr="00295F63">
        <w:rPr>
          <w:rFonts w:ascii="Arial" w:hAnsi="Arial" w:cs="Arial"/>
          <w:b/>
          <w:color w:val="000000"/>
          <w:sz w:val="22"/>
          <w:szCs w:val="22"/>
        </w:rPr>
        <w:t>:</w:t>
      </w:r>
      <w:r w:rsidR="00AD51A6" w:rsidRPr="00295F63">
        <w:rPr>
          <w:rFonts w:ascii="Arial" w:hAnsi="Arial" w:cs="Arial"/>
          <w:color w:val="000000"/>
          <w:sz w:val="22"/>
          <w:szCs w:val="22"/>
        </w:rPr>
        <w:t xml:space="preserve"> Clusters of significant reductions in CT, SA and CV in DID individuals relative to controls</w:t>
      </w:r>
      <w:r w:rsidR="00F638BC">
        <w:rPr>
          <w:rFonts w:ascii="Arial" w:hAnsi="Arial" w:cs="Arial"/>
          <w:color w:val="000000"/>
          <w:sz w:val="22"/>
          <w:szCs w:val="22"/>
        </w:rPr>
        <w:t>.</w:t>
      </w:r>
    </w:p>
    <w:p w14:paraId="1516C901" w14:textId="3EAB1A69" w:rsidR="00AD51A6" w:rsidRPr="00295F63" w:rsidRDefault="00AD51A6" w:rsidP="00A263E5">
      <w:pPr>
        <w:spacing w:line="360" w:lineRule="auto"/>
        <w:rPr>
          <w:rFonts w:ascii="Arial" w:hAnsi="Arial" w:cs="Arial"/>
          <w:b/>
          <w:sz w:val="22"/>
          <w:szCs w:val="22"/>
        </w:rPr>
      </w:pPr>
      <w:r w:rsidRPr="00295F63">
        <w:rPr>
          <w:rFonts w:ascii="Arial" w:hAnsi="Arial" w:cs="Arial"/>
          <w:b/>
          <w:color w:val="000000"/>
          <w:sz w:val="22"/>
          <w:szCs w:val="22"/>
        </w:rPr>
        <w:t xml:space="preserve">Table </w:t>
      </w:r>
      <w:r w:rsidR="0070710F">
        <w:rPr>
          <w:rFonts w:ascii="Arial" w:hAnsi="Arial" w:cs="Arial"/>
          <w:b/>
          <w:color w:val="000000"/>
          <w:sz w:val="22"/>
          <w:szCs w:val="22"/>
        </w:rPr>
        <w:t>4</w:t>
      </w:r>
      <w:r w:rsidRPr="00295F63">
        <w:rPr>
          <w:rFonts w:ascii="Arial" w:hAnsi="Arial" w:cs="Arial"/>
          <w:b/>
          <w:color w:val="000000"/>
          <w:sz w:val="22"/>
          <w:szCs w:val="22"/>
        </w:rPr>
        <w:t xml:space="preserve">: </w:t>
      </w:r>
      <w:r w:rsidRPr="00295F63">
        <w:rPr>
          <w:rFonts w:ascii="Arial" w:hAnsi="Arial" w:cs="Arial"/>
          <w:color w:val="000000"/>
          <w:sz w:val="22"/>
          <w:szCs w:val="22"/>
        </w:rPr>
        <w:t>Spatial overlap between differences in cortical thickness and surface area, and relative contribution of differences in cortical thickness and surface area to differences in cortical volume</w:t>
      </w:r>
      <w:r w:rsidR="00F638BC">
        <w:rPr>
          <w:rFonts w:ascii="Arial" w:hAnsi="Arial" w:cs="Arial"/>
          <w:color w:val="000000"/>
          <w:sz w:val="22"/>
          <w:szCs w:val="22"/>
        </w:rPr>
        <w:t>.</w:t>
      </w:r>
    </w:p>
    <w:p w14:paraId="2629E702" w14:textId="77777777" w:rsidR="00CA60B1" w:rsidRPr="00295F63" w:rsidRDefault="00CA60B1" w:rsidP="00A263E5">
      <w:pPr>
        <w:spacing w:line="360" w:lineRule="auto"/>
        <w:rPr>
          <w:rFonts w:ascii="Arial" w:hAnsi="Arial" w:cs="Arial"/>
          <w:b/>
          <w:sz w:val="22"/>
          <w:szCs w:val="22"/>
        </w:rPr>
      </w:pPr>
    </w:p>
    <w:p w14:paraId="309001AF" w14:textId="6EB35FB6" w:rsidR="00CA60B1" w:rsidRPr="00B127DC" w:rsidRDefault="00DD7C37" w:rsidP="00A263E5">
      <w:pPr>
        <w:spacing w:line="360" w:lineRule="auto"/>
        <w:rPr>
          <w:rFonts w:ascii="Arial" w:hAnsi="Arial" w:cs="Arial"/>
          <w:b/>
          <w:sz w:val="22"/>
          <w:szCs w:val="22"/>
        </w:rPr>
      </w:pPr>
      <w:r>
        <w:rPr>
          <w:rFonts w:ascii="Arial" w:hAnsi="Arial" w:cs="Arial"/>
          <w:b/>
          <w:sz w:val="22"/>
          <w:szCs w:val="22"/>
        </w:rPr>
        <w:t>FIGURE LEGENDS</w:t>
      </w:r>
    </w:p>
    <w:p w14:paraId="1F9D54C4" w14:textId="77777777" w:rsidR="00CA60B1" w:rsidRPr="00295F63" w:rsidRDefault="000215B8" w:rsidP="00A263E5">
      <w:pPr>
        <w:spacing w:line="360" w:lineRule="auto"/>
        <w:rPr>
          <w:rFonts w:ascii="Arial" w:hAnsi="Arial" w:cs="Arial"/>
          <w:sz w:val="22"/>
          <w:szCs w:val="22"/>
        </w:rPr>
      </w:pPr>
      <w:r w:rsidRPr="00295F63">
        <w:rPr>
          <w:rFonts w:ascii="Arial" w:hAnsi="Arial" w:cs="Arial"/>
          <w:b/>
          <w:sz w:val="22"/>
          <w:szCs w:val="22"/>
        </w:rPr>
        <w:t>Figure 1</w:t>
      </w:r>
      <w:r w:rsidR="00637D93" w:rsidRPr="00295F63">
        <w:rPr>
          <w:rFonts w:ascii="Arial" w:hAnsi="Arial" w:cs="Arial"/>
          <w:b/>
          <w:sz w:val="22"/>
          <w:szCs w:val="22"/>
        </w:rPr>
        <w:t>:</w:t>
      </w:r>
      <w:r w:rsidRPr="00295F63">
        <w:rPr>
          <w:rFonts w:ascii="Arial" w:hAnsi="Arial" w:cs="Arial"/>
          <w:sz w:val="22"/>
          <w:szCs w:val="22"/>
        </w:rPr>
        <w:t xml:space="preserve"> </w:t>
      </w:r>
      <w:bookmarkStart w:id="8" w:name="OLE_LINK10"/>
      <w:bookmarkStart w:id="9" w:name="OLE_LINK11"/>
      <w:r w:rsidR="00B060F3" w:rsidRPr="00295F63">
        <w:rPr>
          <w:rFonts w:ascii="Arial" w:hAnsi="Arial" w:cs="Arial"/>
          <w:sz w:val="22"/>
          <w:szCs w:val="22"/>
        </w:rPr>
        <w:t xml:space="preserve">Between-group differences for measures of cortical thickness (CT) and surface area (SA). </w:t>
      </w:r>
      <w:r w:rsidR="00DA6CA0" w:rsidRPr="00295F63">
        <w:rPr>
          <w:rFonts w:ascii="Arial" w:hAnsi="Arial" w:cs="Arial"/>
          <w:sz w:val="22"/>
          <w:szCs w:val="22"/>
        </w:rPr>
        <w:t>(</w:t>
      </w:r>
      <w:r w:rsidR="00B060F3" w:rsidRPr="00295F63">
        <w:rPr>
          <w:rFonts w:ascii="Arial" w:hAnsi="Arial" w:cs="Arial"/>
          <w:b/>
          <w:sz w:val="22"/>
          <w:szCs w:val="22"/>
        </w:rPr>
        <w:t>A</w:t>
      </w:r>
      <w:r w:rsidR="00DA6CA0" w:rsidRPr="00295F63">
        <w:rPr>
          <w:rFonts w:ascii="Arial" w:hAnsi="Arial" w:cs="Arial"/>
          <w:b/>
          <w:sz w:val="22"/>
          <w:szCs w:val="22"/>
        </w:rPr>
        <w:t>)</w:t>
      </w:r>
      <w:r w:rsidR="00B060F3" w:rsidRPr="00295F63">
        <w:rPr>
          <w:rFonts w:ascii="Arial" w:hAnsi="Arial" w:cs="Arial"/>
          <w:sz w:val="22"/>
          <w:szCs w:val="22"/>
        </w:rPr>
        <w:t xml:space="preserve"> </w:t>
      </w:r>
      <w:bookmarkStart w:id="10" w:name="OLE_LINK8"/>
      <w:bookmarkStart w:id="11" w:name="OLE_LINK9"/>
      <w:r w:rsidR="00B060F3" w:rsidRPr="00295F63">
        <w:rPr>
          <w:rFonts w:ascii="Arial" w:hAnsi="Arial" w:cs="Arial"/>
          <w:sz w:val="22"/>
          <w:szCs w:val="22"/>
        </w:rPr>
        <w:t>Clusters with significantly reduced CT (RFT-based, cluster-corrected, p</w:t>
      </w:r>
      <w:r w:rsidR="00EE46C2" w:rsidRPr="00295F63">
        <w:rPr>
          <w:rFonts w:ascii="Arial" w:hAnsi="Arial" w:cs="Arial"/>
          <w:sz w:val="22"/>
          <w:szCs w:val="22"/>
        </w:rPr>
        <w:t xml:space="preserve"> &lt; </w:t>
      </w:r>
      <w:r w:rsidR="00B060F3" w:rsidRPr="00295F63">
        <w:rPr>
          <w:rFonts w:ascii="Arial" w:hAnsi="Arial" w:cs="Arial"/>
          <w:sz w:val="22"/>
          <w:szCs w:val="22"/>
        </w:rPr>
        <w:t>0.05) in DID compared to controls while controlling for the effects of site and age</w:t>
      </w:r>
      <w:bookmarkEnd w:id="10"/>
      <w:bookmarkEnd w:id="11"/>
      <w:r w:rsidR="00B060F3" w:rsidRPr="00295F63">
        <w:rPr>
          <w:rFonts w:ascii="Arial" w:hAnsi="Arial" w:cs="Arial"/>
          <w:sz w:val="22"/>
          <w:szCs w:val="22"/>
        </w:rPr>
        <w:t xml:space="preserve">. </w:t>
      </w:r>
      <w:r w:rsidR="00DA6CA0" w:rsidRPr="00295F63">
        <w:rPr>
          <w:rFonts w:ascii="Arial" w:hAnsi="Arial" w:cs="Arial"/>
          <w:sz w:val="22"/>
          <w:szCs w:val="22"/>
        </w:rPr>
        <w:t>(</w:t>
      </w:r>
      <w:r w:rsidR="00B060F3" w:rsidRPr="00295F63">
        <w:rPr>
          <w:rFonts w:ascii="Arial" w:hAnsi="Arial" w:cs="Arial"/>
          <w:b/>
          <w:sz w:val="22"/>
          <w:szCs w:val="22"/>
        </w:rPr>
        <w:t>B</w:t>
      </w:r>
      <w:r w:rsidR="00DA6CA0" w:rsidRPr="00295F63">
        <w:rPr>
          <w:rFonts w:ascii="Arial" w:hAnsi="Arial" w:cs="Arial"/>
          <w:b/>
          <w:sz w:val="22"/>
          <w:szCs w:val="22"/>
        </w:rPr>
        <w:t>)</w:t>
      </w:r>
      <w:bookmarkEnd w:id="8"/>
      <w:bookmarkEnd w:id="9"/>
      <w:r w:rsidR="00B060F3" w:rsidRPr="00295F63">
        <w:rPr>
          <w:rFonts w:ascii="Arial" w:hAnsi="Arial" w:cs="Arial"/>
          <w:sz w:val="22"/>
          <w:szCs w:val="22"/>
        </w:rPr>
        <w:t xml:space="preserve"> Clusters with significantly reduced SA (RFT-based, cluster-corrected, p</w:t>
      </w:r>
      <w:r w:rsidR="00EE46C2" w:rsidRPr="00295F63">
        <w:rPr>
          <w:rFonts w:ascii="Arial" w:hAnsi="Arial" w:cs="Arial"/>
          <w:sz w:val="22"/>
          <w:szCs w:val="22"/>
        </w:rPr>
        <w:t xml:space="preserve"> &lt; </w:t>
      </w:r>
      <w:r w:rsidR="00B060F3" w:rsidRPr="00295F63">
        <w:rPr>
          <w:rFonts w:ascii="Arial" w:hAnsi="Arial" w:cs="Arial"/>
          <w:sz w:val="22"/>
          <w:szCs w:val="22"/>
        </w:rPr>
        <w:t xml:space="preserve">0.05) in DID compared to controls. </w:t>
      </w:r>
      <w:r w:rsidR="00DA6CA0" w:rsidRPr="00295F63">
        <w:rPr>
          <w:rFonts w:ascii="Arial" w:hAnsi="Arial" w:cs="Arial"/>
          <w:sz w:val="22"/>
          <w:szCs w:val="22"/>
        </w:rPr>
        <w:t>(</w:t>
      </w:r>
      <w:r w:rsidR="00B060F3" w:rsidRPr="00295F63">
        <w:rPr>
          <w:rFonts w:ascii="Arial" w:hAnsi="Arial" w:cs="Arial"/>
          <w:b/>
          <w:sz w:val="22"/>
          <w:szCs w:val="22"/>
        </w:rPr>
        <w:t>C</w:t>
      </w:r>
      <w:r w:rsidR="00DA6CA0" w:rsidRPr="00295F63">
        <w:rPr>
          <w:rFonts w:ascii="Arial" w:hAnsi="Arial" w:cs="Arial"/>
          <w:b/>
          <w:sz w:val="22"/>
          <w:szCs w:val="22"/>
        </w:rPr>
        <w:t>)</w:t>
      </w:r>
      <w:r w:rsidR="00B060F3" w:rsidRPr="00295F63">
        <w:rPr>
          <w:rFonts w:ascii="Arial" w:hAnsi="Arial" w:cs="Arial"/>
          <w:sz w:val="22"/>
          <w:szCs w:val="22"/>
        </w:rPr>
        <w:t xml:space="preserve"> Percentage overlap be</w:t>
      </w:r>
      <w:r w:rsidR="002449AF" w:rsidRPr="00295F63">
        <w:rPr>
          <w:rFonts w:ascii="Arial" w:hAnsi="Arial" w:cs="Arial"/>
          <w:sz w:val="22"/>
          <w:szCs w:val="22"/>
        </w:rPr>
        <w:t>tween differences in CT and SA, where orange denotes significant differences in both CT and SA, green denotes a significant differences in CT only, and cyan denotes a significant difference in SA only.</w:t>
      </w:r>
    </w:p>
    <w:p w14:paraId="4515D267" w14:textId="5779D320" w:rsidR="00E53843" w:rsidRPr="00E53843" w:rsidRDefault="00DA6CA0" w:rsidP="00E53843">
      <w:pPr>
        <w:spacing w:line="360" w:lineRule="auto"/>
        <w:rPr>
          <w:rFonts w:ascii="Arial" w:hAnsi="Arial" w:cs="Arial"/>
          <w:sz w:val="22"/>
          <w:szCs w:val="22"/>
        </w:rPr>
      </w:pPr>
      <w:r w:rsidRPr="00295F63">
        <w:rPr>
          <w:rFonts w:ascii="Arial" w:hAnsi="Arial" w:cs="Arial"/>
          <w:b/>
          <w:sz w:val="22"/>
          <w:szCs w:val="22"/>
        </w:rPr>
        <w:t>Figure 2</w:t>
      </w:r>
      <w:r w:rsidR="00637D93" w:rsidRPr="00295F63">
        <w:rPr>
          <w:rFonts w:ascii="Arial" w:hAnsi="Arial" w:cs="Arial"/>
          <w:sz w:val="22"/>
          <w:szCs w:val="22"/>
        </w:rPr>
        <w:t>:</w:t>
      </w:r>
      <w:r w:rsidRPr="00295F63">
        <w:rPr>
          <w:rFonts w:ascii="Arial" w:hAnsi="Arial" w:cs="Arial"/>
          <w:sz w:val="22"/>
          <w:szCs w:val="22"/>
        </w:rPr>
        <w:t xml:space="preserve"> </w:t>
      </w:r>
      <w:r w:rsidR="00814247" w:rsidRPr="00295F63">
        <w:rPr>
          <w:rFonts w:ascii="Arial" w:hAnsi="Arial" w:cs="Arial"/>
          <w:sz w:val="22"/>
          <w:szCs w:val="22"/>
        </w:rPr>
        <w:t>Between-group differences for vertex-wise estimates of cortical volume (CV). (</w:t>
      </w:r>
      <w:r w:rsidR="00814247" w:rsidRPr="00295F63">
        <w:rPr>
          <w:rFonts w:ascii="Arial" w:hAnsi="Arial" w:cs="Arial"/>
          <w:b/>
          <w:sz w:val="22"/>
          <w:szCs w:val="22"/>
        </w:rPr>
        <w:t>A)</w:t>
      </w:r>
      <w:r w:rsidR="00814247" w:rsidRPr="00295F63">
        <w:rPr>
          <w:rFonts w:ascii="Arial" w:hAnsi="Arial" w:cs="Arial"/>
          <w:sz w:val="22"/>
          <w:szCs w:val="22"/>
        </w:rPr>
        <w:t xml:space="preserve"> Clusters with significantly reduced CV </w:t>
      </w:r>
      <w:bookmarkStart w:id="12" w:name="OLE_LINK12"/>
      <w:bookmarkStart w:id="13" w:name="OLE_LINK13"/>
      <w:r w:rsidR="00814247" w:rsidRPr="00295F63">
        <w:rPr>
          <w:rFonts w:ascii="Arial" w:hAnsi="Arial" w:cs="Arial"/>
          <w:sz w:val="22"/>
          <w:szCs w:val="22"/>
        </w:rPr>
        <w:t>(RFT-based, cluster-corrected, p</w:t>
      </w:r>
      <w:r w:rsidR="00EE46C2" w:rsidRPr="00295F63">
        <w:rPr>
          <w:rFonts w:ascii="Arial" w:hAnsi="Arial" w:cs="Arial"/>
          <w:sz w:val="22"/>
          <w:szCs w:val="22"/>
        </w:rPr>
        <w:t xml:space="preserve"> &lt; </w:t>
      </w:r>
      <w:r w:rsidR="00814247" w:rsidRPr="00295F63">
        <w:rPr>
          <w:rFonts w:ascii="Arial" w:hAnsi="Arial" w:cs="Arial"/>
          <w:sz w:val="22"/>
          <w:szCs w:val="22"/>
        </w:rPr>
        <w:t>0.05)</w:t>
      </w:r>
      <w:bookmarkEnd w:id="12"/>
      <w:bookmarkEnd w:id="13"/>
      <w:r w:rsidR="00814247" w:rsidRPr="00295F63">
        <w:rPr>
          <w:rFonts w:ascii="Arial" w:hAnsi="Arial" w:cs="Arial"/>
          <w:sz w:val="22"/>
          <w:szCs w:val="22"/>
        </w:rPr>
        <w:t xml:space="preserve"> in DID compared to controls while controlling for the effects of site and age. (</w:t>
      </w:r>
      <w:r w:rsidR="00814247" w:rsidRPr="00295F63">
        <w:rPr>
          <w:rFonts w:ascii="Arial" w:hAnsi="Arial" w:cs="Arial"/>
          <w:b/>
          <w:sz w:val="22"/>
          <w:szCs w:val="22"/>
        </w:rPr>
        <w:t>B)</w:t>
      </w:r>
      <w:r w:rsidR="00465487" w:rsidRPr="00295F63">
        <w:rPr>
          <w:rFonts w:ascii="Arial" w:hAnsi="Arial" w:cs="Arial"/>
          <w:b/>
          <w:sz w:val="22"/>
          <w:szCs w:val="22"/>
        </w:rPr>
        <w:t xml:space="preserve"> </w:t>
      </w:r>
      <w:r w:rsidR="00465487" w:rsidRPr="00295F63">
        <w:rPr>
          <w:rFonts w:ascii="Arial" w:hAnsi="Arial" w:cs="Arial"/>
          <w:sz w:val="22"/>
          <w:szCs w:val="22"/>
        </w:rPr>
        <w:t xml:space="preserve">Contribution of differences in </w:t>
      </w:r>
      <w:r w:rsidR="00A313B8">
        <w:rPr>
          <w:rFonts w:ascii="Arial" w:hAnsi="Arial" w:cs="Arial"/>
          <w:sz w:val="22"/>
          <w:szCs w:val="22"/>
        </w:rPr>
        <w:t>cortical thickness (</w:t>
      </w:r>
      <w:r w:rsidR="00465487" w:rsidRPr="00295F63">
        <w:rPr>
          <w:rFonts w:ascii="Arial" w:hAnsi="Arial" w:cs="Arial"/>
          <w:sz w:val="22"/>
          <w:szCs w:val="22"/>
        </w:rPr>
        <w:t>CT</w:t>
      </w:r>
      <w:r w:rsidR="00A313B8">
        <w:rPr>
          <w:rFonts w:ascii="Arial" w:hAnsi="Arial" w:cs="Arial"/>
          <w:sz w:val="22"/>
          <w:szCs w:val="22"/>
        </w:rPr>
        <w:t>)</w:t>
      </w:r>
      <w:r w:rsidR="00465487" w:rsidRPr="00295F63">
        <w:rPr>
          <w:rFonts w:ascii="Arial" w:hAnsi="Arial" w:cs="Arial"/>
          <w:sz w:val="22"/>
          <w:szCs w:val="22"/>
        </w:rPr>
        <w:t xml:space="preserve"> and </w:t>
      </w:r>
      <w:r w:rsidR="00A313B8">
        <w:rPr>
          <w:rFonts w:ascii="Arial" w:hAnsi="Arial" w:cs="Arial"/>
          <w:sz w:val="22"/>
          <w:szCs w:val="22"/>
        </w:rPr>
        <w:t>surface area (</w:t>
      </w:r>
      <w:r w:rsidR="00465487" w:rsidRPr="00295F63">
        <w:rPr>
          <w:rFonts w:ascii="Arial" w:hAnsi="Arial" w:cs="Arial"/>
          <w:sz w:val="22"/>
          <w:szCs w:val="22"/>
        </w:rPr>
        <w:t>SA</w:t>
      </w:r>
      <w:r w:rsidR="00A313B8">
        <w:rPr>
          <w:rFonts w:ascii="Arial" w:hAnsi="Arial" w:cs="Arial"/>
          <w:sz w:val="22"/>
          <w:szCs w:val="22"/>
        </w:rPr>
        <w:t>)</w:t>
      </w:r>
      <w:r w:rsidR="00465487" w:rsidRPr="00295F63">
        <w:rPr>
          <w:rFonts w:ascii="Arial" w:hAnsi="Arial" w:cs="Arial"/>
          <w:sz w:val="22"/>
          <w:szCs w:val="22"/>
        </w:rPr>
        <w:t xml:space="preserve"> to </w:t>
      </w:r>
      <w:r w:rsidR="006D7ADE" w:rsidRPr="00295F63">
        <w:rPr>
          <w:rFonts w:ascii="Arial" w:hAnsi="Arial" w:cs="Arial"/>
          <w:sz w:val="22"/>
          <w:szCs w:val="22"/>
        </w:rPr>
        <w:t>the observ</w:t>
      </w:r>
      <w:r w:rsidR="005430B8">
        <w:rPr>
          <w:rFonts w:ascii="Arial" w:hAnsi="Arial" w:cs="Arial"/>
          <w:sz w:val="22"/>
          <w:szCs w:val="22"/>
        </w:rPr>
        <w:t>ed differences in CV.</w:t>
      </w:r>
    </w:p>
    <w:p w14:paraId="71358338" w14:textId="77777777" w:rsidR="00E53843" w:rsidRDefault="00E53843" w:rsidP="00EF1F17">
      <w:pPr>
        <w:pStyle w:val="Tekstopmerking"/>
        <w:spacing w:line="360" w:lineRule="auto"/>
        <w:rPr>
          <w:rFonts w:ascii="Arial" w:hAnsi="Arial" w:cs="Arial"/>
          <w:color w:val="000000" w:themeColor="text1"/>
          <w:sz w:val="22"/>
          <w:szCs w:val="22"/>
        </w:rPr>
        <w:sectPr w:rsidR="00E53843" w:rsidSect="000E5EFC">
          <w:footerReference w:type="even" r:id="rId11"/>
          <w:footerReference w:type="default" r:id="rId12"/>
          <w:pgSz w:w="11900" w:h="16840"/>
          <w:pgMar w:top="1440" w:right="1440" w:bottom="1440" w:left="1440" w:header="708" w:footer="708" w:gutter="0"/>
          <w:cols w:space="708"/>
          <w:docGrid w:linePitch="360"/>
        </w:sectPr>
      </w:pPr>
    </w:p>
    <w:tbl>
      <w:tblPr>
        <w:tblW w:w="12460" w:type="dxa"/>
        <w:tblInd w:w="93" w:type="dxa"/>
        <w:tblLook w:val="04A0" w:firstRow="1" w:lastRow="0" w:firstColumn="1" w:lastColumn="0" w:noHBand="0" w:noVBand="1"/>
      </w:tblPr>
      <w:tblGrid>
        <w:gridCol w:w="283"/>
        <w:gridCol w:w="5463"/>
        <w:gridCol w:w="2105"/>
        <w:gridCol w:w="2192"/>
        <w:gridCol w:w="1165"/>
        <w:gridCol w:w="1420"/>
      </w:tblGrid>
      <w:tr w:rsidR="00EF1F17" w:rsidRPr="00C33193" w14:paraId="088D42F0" w14:textId="77777777" w:rsidTr="000E5EFC">
        <w:trPr>
          <w:trHeight w:val="340"/>
        </w:trPr>
        <w:tc>
          <w:tcPr>
            <w:tcW w:w="11040" w:type="dxa"/>
            <w:gridSpan w:val="5"/>
            <w:tcBorders>
              <w:top w:val="nil"/>
              <w:left w:val="nil"/>
              <w:bottom w:val="nil"/>
              <w:right w:val="nil"/>
            </w:tcBorders>
            <w:shd w:val="clear" w:color="auto" w:fill="auto"/>
            <w:noWrap/>
            <w:vAlign w:val="bottom"/>
            <w:hideMark/>
          </w:tcPr>
          <w:p w14:paraId="1DFF689C" w14:textId="5FAEEA2F" w:rsidR="00EF1F17" w:rsidRPr="00C33193" w:rsidRDefault="00EF1F17" w:rsidP="000E5EFC">
            <w:pPr>
              <w:rPr>
                <w:rFonts w:ascii="Arial" w:eastAsia="Times New Roman" w:hAnsi="Arial" w:cs="Arial"/>
                <w:b/>
                <w:bCs/>
                <w:color w:val="000000"/>
                <w:lang w:val="en-GB"/>
              </w:rPr>
            </w:pPr>
            <w:r w:rsidRPr="00C33193">
              <w:rPr>
                <w:rFonts w:ascii="Arial" w:eastAsia="Times New Roman" w:hAnsi="Arial" w:cs="Arial"/>
                <w:b/>
                <w:bCs/>
                <w:color w:val="000000"/>
                <w:lang w:val="en-GB"/>
              </w:rPr>
              <w:lastRenderedPageBreak/>
              <w:t>Table 1: Participant demographics and clinical characteristics.</w:t>
            </w:r>
          </w:p>
        </w:tc>
        <w:tc>
          <w:tcPr>
            <w:tcW w:w="1420" w:type="dxa"/>
            <w:tcBorders>
              <w:top w:val="nil"/>
              <w:left w:val="nil"/>
              <w:bottom w:val="nil"/>
              <w:right w:val="nil"/>
            </w:tcBorders>
            <w:shd w:val="clear" w:color="auto" w:fill="auto"/>
            <w:noWrap/>
            <w:vAlign w:val="bottom"/>
            <w:hideMark/>
          </w:tcPr>
          <w:p w14:paraId="6A5CE36A" w14:textId="77777777" w:rsidR="00EF1F17" w:rsidRPr="00C33193" w:rsidRDefault="00EF1F17" w:rsidP="000E5EFC">
            <w:pPr>
              <w:rPr>
                <w:rFonts w:ascii="Arial" w:eastAsia="Times New Roman" w:hAnsi="Arial" w:cs="Arial"/>
                <w:color w:val="000000"/>
                <w:lang w:val="en-GB"/>
              </w:rPr>
            </w:pPr>
          </w:p>
        </w:tc>
      </w:tr>
      <w:tr w:rsidR="00EF1F17" w:rsidRPr="00C33193" w14:paraId="4C5E3703" w14:textId="77777777" w:rsidTr="000E5EFC">
        <w:trPr>
          <w:trHeight w:val="340"/>
        </w:trPr>
        <w:tc>
          <w:tcPr>
            <w:tcW w:w="115" w:type="dxa"/>
            <w:tcBorders>
              <w:top w:val="single" w:sz="4" w:space="0" w:color="auto"/>
              <w:left w:val="single" w:sz="4" w:space="0" w:color="auto"/>
              <w:bottom w:val="nil"/>
              <w:right w:val="nil"/>
            </w:tcBorders>
            <w:shd w:val="clear" w:color="auto" w:fill="auto"/>
            <w:noWrap/>
            <w:vAlign w:val="bottom"/>
            <w:hideMark/>
          </w:tcPr>
          <w:p w14:paraId="2E4D941B" w14:textId="77777777" w:rsidR="00EF1F17" w:rsidRPr="00C33193" w:rsidRDefault="00EF1F17" w:rsidP="000E5EFC">
            <w:pPr>
              <w:rPr>
                <w:rFonts w:ascii="Arial" w:eastAsia="Times New Roman" w:hAnsi="Arial" w:cs="Arial"/>
                <w:color w:val="000000"/>
                <w:lang w:val="en-GB"/>
              </w:rPr>
            </w:pPr>
            <w:r w:rsidRPr="00C33193">
              <w:rPr>
                <w:rFonts w:ascii="Arial" w:eastAsia="Times New Roman" w:hAnsi="Arial" w:cs="Arial"/>
                <w:color w:val="000000"/>
                <w:lang w:val="en-GB"/>
              </w:rPr>
              <w:t> </w:t>
            </w:r>
          </w:p>
        </w:tc>
        <w:tc>
          <w:tcPr>
            <w:tcW w:w="5463" w:type="dxa"/>
            <w:tcBorders>
              <w:top w:val="single" w:sz="4" w:space="0" w:color="auto"/>
              <w:left w:val="nil"/>
              <w:bottom w:val="nil"/>
              <w:right w:val="nil"/>
            </w:tcBorders>
            <w:shd w:val="clear" w:color="auto" w:fill="auto"/>
            <w:noWrap/>
            <w:vAlign w:val="bottom"/>
            <w:hideMark/>
          </w:tcPr>
          <w:p w14:paraId="71379C02" w14:textId="77777777" w:rsidR="00EF1F17" w:rsidRPr="00C33193" w:rsidRDefault="00EF1F17" w:rsidP="000E5EFC">
            <w:pPr>
              <w:rPr>
                <w:rFonts w:ascii="Arial" w:eastAsia="Times New Roman" w:hAnsi="Arial" w:cs="Arial"/>
                <w:color w:val="000000"/>
                <w:lang w:val="en-GB"/>
              </w:rPr>
            </w:pPr>
            <w:r w:rsidRPr="00C33193">
              <w:rPr>
                <w:rFonts w:ascii="Arial" w:eastAsia="Times New Roman" w:hAnsi="Arial" w:cs="Arial"/>
                <w:color w:val="000000"/>
                <w:lang w:val="en-GB"/>
              </w:rPr>
              <w:t> </w:t>
            </w:r>
          </w:p>
        </w:tc>
        <w:tc>
          <w:tcPr>
            <w:tcW w:w="5462" w:type="dxa"/>
            <w:gridSpan w:val="3"/>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7D68EE83" w14:textId="77777777" w:rsidR="00EF1F17" w:rsidRPr="00C33193" w:rsidRDefault="00EF1F17" w:rsidP="000E5EFC">
            <w:pPr>
              <w:jc w:val="center"/>
              <w:rPr>
                <w:rFonts w:ascii="Arial" w:eastAsia="Times New Roman" w:hAnsi="Arial" w:cs="Arial"/>
                <w:b/>
                <w:bCs/>
                <w:color w:val="000000"/>
                <w:lang w:val="en-GB"/>
              </w:rPr>
            </w:pPr>
            <w:r w:rsidRPr="00C33193">
              <w:rPr>
                <w:rFonts w:ascii="Arial" w:eastAsia="Times New Roman" w:hAnsi="Arial" w:cs="Arial"/>
                <w:b/>
                <w:bCs/>
                <w:color w:val="000000"/>
                <w:lang w:val="en-GB"/>
              </w:rPr>
              <w:t>All</w:t>
            </w:r>
          </w:p>
        </w:tc>
        <w:tc>
          <w:tcPr>
            <w:tcW w:w="1420" w:type="dxa"/>
            <w:tcBorders>
              <w:top w:val="nil"/>
              <w:left w:val="nil"/>
              <w:bottom w:val="nil"/>
              <w:right w:val="nil"/>
            </w:tcBorders>
            <w:shd w:val="clear" w:color="auto" w:fill="auto"/>
            <w:noWrap/>
            <w:vAlign w:val="bottom"/>
            <w:hideMark/>
          </w:tcPr>
          <w:p w14:paraId="3D93061C" w14:textId="77777777" w:rsidR="00EF1F17" w:rsidRPr="00C33193" w:rsidRDefault="00EF1F17" w:rsidP="000E5EFC">
            <w:pPr>
              <w:rPr>
                <w:rFonts w:ascii="Arial" w:eastAsia="Times New Roman" w:hAnsi="Arial" w:cs="Arial"/>
                <w:color w:val="000000"/>
                <w:lang w:val="en-GB"/>
              </w:rPr>
            </w:pPr>
          </w:p>
        </w:tc>
      </w:tr>
      <w:tr w:rsidR="00EF1F17" w:rsidRPr="00C33193" w14:paraId="7C7A1C5B" w14:textId="77777777" w:rsidTr="000E5EFC">
        <w:trPr>
          <w:trHeight w:val="340"/>
        </w:trPr>
        <w:tc>
          <w:tcPr>
            <w:tcW w:w="115" w:type="dxa"/>
            <w:tcBorders>
              <w:top w:val="nil"/>
              <w:left w:val="single" w:sz="4" w:space="0" w:color="auto"/>
              <w:bottom w:val="nil"/>
              <w:right w:val="nil"/>
            </w:tcBorders>
            <w:shd w:val="clear" w:color="auto" w:fill="auto"/>
            <w:noWrap/>
            <w:vAlign w:val="bottom"/>
            <w:hideMark/>
          </w:tcPr>
          <w:p w14:paraId="55715BEF" w14:textId="77777777" w:rsidR="00EF1F17" w:rsidRPr="00C33193" w:rsidRDefault="00EF1F17" w:rsidP="000E5EFC">
            <w:pPr>
              <w:rPr>
                <w:rFonts w:ascii="Arial" w:eastAsia="Times New Roman" w:hAnsi="Arial" w:cs="Arial"/>
                <w:color w:val="000000"/>
                <w:lang w:val="en-GB"/>
              </w:rPr>
            </w:pPr>
            <w:r w:rsidRPr="00C33193">
              <w:rPr>
                <w:rFonts w:ascii="Arial" w:eastAsia="Times New Roman" w:hAnsi="Arial" w:cs="Arial"/>
                <w:color w:val="000000"/>
                <w:lang w:val="en-GB"/>
              </w:rPr>
              <w:t> </w:t>
            </w:r>
          </w:p>
        </w:tc>
        <w:tc>
          <w:tcPr>
            <w:tcW w:w="5463" w:type="dxa"/>
            <w:tcBorders>
              <w:top w:val="nil"/>
              <w:left w:val="nil"/>
              <w:bottom w:val="nil"/>
              <w:right w:val="single" w:sz="4" w:space="0" w:color="auto"/>
            </w:tcBorders>
            <w:shd w:val="clear" w:color="auto" w:fill="auto"/>
            <w:noWrap/>
            <w:vAlign w:val="bottom"/>
            <w:hideMark/>
          </w:tcPr>
          <w:p w14:paraId="78E0C49A" w14:textId="77777777" w:rsidR="00EF1F17" w:rsidRPr="00C33193" w:rsidRDefault="00EF1F17" w:rsidP="000E5EFC">
            <w:pPr>
              <w:rPr>
                <w:rFonts w:ascii="Arial" w:eastAsia="Times New Roman" w:hAnsi="Arial" w:cs="Arial"/>
                <w:color w:val="000000"/>
                <w:lang w:val="en-GB"/>
              </w:rPr>
            </w:pPr>
            <w:r w:rsidRPr="00C33193">
              <w:rPr>
                <w:rFonts w:ascii="Arial" w:eastAsia="Times New Roman" w:hAnsi="Arial" w:cs="Arial"/>
                <w:color w:val="000000"/>
                <w:lang w:val="en-GB"/>
              </w:rPr>
              <w:t> </w:t>
            </w:r>
          </w:p>
        </w:tc>
        <w:tc>
          <w:tcPr>
            <w:tcW w:w="4297" w:type="dxa"/>
            <w:gridSpan w:val="2"/>
            <w:tcBorders>
              <w:top w:val="single" w:sz="4" w:space="0" w:color="000000"/>
              <w:left w:val="nil"/>
              <w:bottom w:val="single" w:sz="4" w:space="0" w:color="000000"/>
              <w:right w:val="nil"/>
            </w:tcBorders>
            <w:shd w:val="clear" w:color="auto" w:fill="auto"/>
            <w:noWrap/>
            <w:vAlign w:val="bottom"/>
            <w:hideMark/>
          </w:tcPr>
          <w:p w14:paraId="61E32D8C"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Mean (SD)</w:t>
            </w:r>
          </w:p>
        </w:tc>
        <w:tc>
          <w:tcPr>
            <w:tcW w:w="1165" w:type="dxa"/>
            <w:tcBorders>
              <w:top w:val="nil"/>
              <w:left w:val="nil"/>
              <w:bottom w:val="single" w:sz="4" w:space="0" w:color="000000"/>
              <w:right w:val="single" w:sz="4" w:space="0" w:color="000000"/>
            </w:tcBorders>
            <w:shd w:val="clear" w:color="auto" w:fill="auto"/>
            <w:noWrap/>
            <w:vAlign w:val="bottom"/>
            <w:hideMark/>
          </w:tcPr>
          <w:p w14:paraId="63573963"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t-test</w:t>
            </w:r>
          </w:p>
        </w:tc>
        <w:tc>
          <w:tcPr>
            <w:tcW w:w="1420" w:type="dxa"/>
            <w:tcBorders>
              <w:top w:val="nil"/>
              <w:left w:val="nil"/>
              <w:bottom w:val="nil"/>
              <w:right w:val="nil"/>
            </w:tcBorders>
            <w:shd w:val="clear" w:color="auto" w:fill="auto"/>
            <w:noWrap/>
            <w:vAlign w:val="bottom"/>
            <w:hideMark/>
          </w:tcPr>
          <w:p w14:paraId="24416987" w14:textId="77777777" w:rsidR="00EF1F17" w:rsidRPr="00C33193" w:rsidRDefault="00EF1F17" w:rsidP="000E5EFC">
            <w:pPr>
              <w:rPr>
                <w:rFonts w:ascii="Arial" w:eastAsia="Times New Roman" w:hAnsi="Arial" w:cs="Arial"/>
                <w:color w:val="000000"/>
                <w:lang w:val="en-GB"/>
              </w:rPr>
            </w:pPr>
          </w:p>
        </w:tc>
      </w:tr>
      <w:tr w:rsidR="00EF1F17" w:rsidRPr="00C33193" w14:paraId="47E13264" w14:textId="77777777" w:rsidTr="000E5EFC">
        <w:trPr>
          <w:trHeight w:val="340"/>
        </w:trPr>
        <w:tc>
          <w:tcPr>
            <w:tcW w:w="115" w:type="dxa"/>
            <w:tcBorders>
              <w:top w:val="nil"/>
              <w:left w:val="single" w:sz="4" w:space="0" w:color="auto"/>
              <w:bottom w:val="single" w:sz="4" w:space="0" w:color="auto"/>
              <w:right w:val="nil"/>
            </w:tcBorders>
            <w:shd w:val="clear" w:color="auto" w:fill="auto"/>
            <w:noWrap/>
            <w:vAlign w:val="bottom"/>
            <w:hideMark/>
          </w:tcPr>
          <w:p w14:paraId="739ED7BA" w14:textId="77777777" w:rsidR="00EF1F17" w:rsidRPr="00C33193" w:rsidRDefault="00EF1F17" w:rsidP="000E5EFC">
            <w:pPr>
              <w:rPr>
                <w:rFonts w:ascii="Arial" w:eastAsia="Times New Roman" w:hAnsi="Arial" w:cs="Arial"/>
                <w:color w:val="000000"/>
                <w:lang w:val="en-GB"/>
              </w:rPr>
            </w:pPr>
            <w:r w:rsidRPr="00C33193">
              <w:rPr>
                <w:rFonts w:ascii="Arial" w:eastAsia="Times New Roman" w:hAnsi="Arial" w:cs="Arial"/>
                <w:color w:val="000000"/>
                <w:lang w:val="en-GB"/>
              </w:rPr>
              <w:t> </w:t>
            </w:r>
          </w:p>
        </w:tc>
        <w:tc>
          <w:tcPr>
            <w:tcW w:w="5463" w:type="dxa"/>
            <w:tcBorders>
              <w:top w:val="nil"/>
              <w:left w:val="nil"/>
              <w:bottom w:val="single" w:sz="4" w:space="0" w:color="auto"/>
              <w:right w:val="single" w:sz="4" w:space="0" w:color="auto"/>
            </w:tcBorders>
            <w:shd w:val="clear" w:color="auto" w:fill="auto"/>
            <w:noWrap/>
            <w:vAlign w:val="bottom"/>
            <w:hideMark/>
          </w:tcPr>
          <w:p w14:paraId="2FC6E066" w14:textId="77777777" w:rsidR="00EF1F17" w:rsidRPr="00C33193" w:rsidRDefault="00EF1F17" w:rsidP="000E5EFC">
            <w:pPr>
              <w:rPr>
                <w:rFonts w:ascii="Arial" w:eastAsia="Times New Roman" w:hAnsi="Arial" w:cs="Arial"/>
                <w:color w:val="000000"/>
                <w:lang w:val="en-GB"/>
              </w:rPr>
            </w:pPr>
            <w:r w:rsidRPr="00C33193">
              <w:rPr>
                <w:rFonts w:ascii="Arial" w:eastAsia="Times New Roman" w:hAnsi="Arial" w:cs="Arial"/>
                <w:color w:val="000000"/>
                <w:lang w:val="en-GB"/>
              </w:rPr>
              <w:t> </w:t>
            </w:r>
          </w:p>
        </w:tc>
        <w:tc>
          <w:tcPr>
            <w:tcW w:w="2105" w:type="dxa"/>
            <w:tcBorders>
              <w:top w:val="nil"/>
              <w:left w:val="nil"/>
              <w:bottom w:val="single" w:sz="4" w:space="0" w:color="000000"/>
              <w:right w:val="nil"/>
            </w:tcBorders>
            <w:shd w:val="clear" w:color="auto" w:fill="auto"/>
            <w:noWrap/>
            <w:vAlign w:val="bottom"/>
            <w:hideMark/>
          </w:tcPr>
          <w:p w14:paraId="7B9B7D32"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DID (n=32)</w:t>
            </w:r>
          </w:p>
        </w:tc>
        <w:tc>
          <w:tcPr>
            <w:tcW w:w="2192" w:type="dxa"/>
            <w:tcBorders>
              <w:top w:val="nil"/>
              <w:left w:val="nil"/>
              <w:bottom w:val="single" w:sz="4" w:space="0" w:color="000000"/>
              <w:right w:val="nil"/>
            </w:tcBorders>
            <w:shd w:val="clear" w:color="auto" w:fill="auto"/>
            <w:noWrap/>
            <w:vAlign w:val="bottom"/>
            <w:hideMark/>
          </w:tcPr>
          <w:p w14:paraId="171EE6B2"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HC (n=43)</w:t>
            </w:r>
          </w:p>
        </w:tc>
        <w:tc>
          <w:tcPr>
            <w:tcW w:w="1165" w:type="dxa"/>
            <w:tcBorders>
              <w:top w:val="nil"/>
              <w:left w:val="nil"/>
              <w:bottom w:val="single" w:sz="4" w:space="0" w:color="000000"/>
              <w:right w:val="single" w:sz="4" w:space="0" w:color="000000"/>
            </w:tcBorders>
            <w:shd w:val="clear" w:color="auto" w:fill="auto"/>
            <w:noWrap/>
            <w:vAlign w:val="bottom"/>
            <w:hideMark/>
          </w:tcPr>
          <w:p w14:paraId="1784F423"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p-value</w:t>
            </w:r>
          </w:p>
        </w:tc>
        <w:tc>
          <w:tcPr>
            <w:tcW w:w="1420" w:type="dxa"/>
            <w:tcBorders>
              <w:top w:val="nil"/>
              <w:left w:val="nil"/>
              <w:bottom w:val="nil"/>
              <w:right w:val="nil"/>
            </w:tcBorders>
            <w:shd w:val="clear" w:color="auto" w:fill="auto"/>
            <w:noWrap/>
            <w:vAlign w:val="bottom"/>
            <w:hideMark/>
          </w:tcPr>
          <w:p w14:paraId="6296A267" w14:textId="77777777" w:rsidR="00EF1F17" w:rsidRPr="00C33193" w:rsidRDefault="00EF1F17" w:rsidP="000E5EFC">
            <w:pPr>
              <w:rPr>
                <w:rFonts w:ascii="Arial" w:eastAsia="Times New Roman" w:hAnsi="Arial" w:cs="Arial"/>
                <w:color w:val="000000"/>
                <w:lang w:val="en-GB"/>
              </w:rPr>
            </w:pPr>
          </w:p>
        </w:tc>
      </w:tr>
      <w:tr w:rsidR="00EF1F17" w:rsidRPr="00C33193" w14:paraId="251EB8E5" w14:textId="77777777" w:rsidTr="000E5EFC">
        <w:trPr>
          <w:trHeight w:val="340"/>
        </w:trPr>
        <w:tc>
          <w:tcPr>
            <w:tcW w:w="5578" w:type="dxa"/>
            <w:gridSpan w:val="2"/>
            <w:tcBorders>
              <w:top w:val="nil"/>
              <w:left w:val="single" w:sz="4" w:space="0" w:color="auto"/>
              <w:bottom w:val="nil"/>
              <w:right w:val="nil"/>
            </w:tcBorders>
            <w:shd w:val="clear" w:color="auto" w:fill="auto"/>
            <w:noWrap/>
            <w:vAlign w:val="bottom"/>
            <w:hideMark/>
          </w:tcPr>
          <w:p w14:paraId="25571287" w14:textId="77777777" w:rsidR="00EF1F17" w:rsidRPr="00C33193" w:rsidRDefault="00EF1F17" w:rsidP="000E5EFC">
            <w:pPr>
              <w:rPr>
                <w:rFonts w:ascii="Arial" w:eastAsia="Times New Roman" w:hAnsi="Arial" w:cs="Arial"/>
                <w:b/>
                <w:bCs/>
                <w:color w:val="000000"/>
                <w:lang w:val="en-GB"/>
              </w:rPr>
            </w:pPr>
            <w:r w:rsidRPr="00C33193">
              <w:rPr>
                <w:rFonts w:ascii="Arial" w:eastAsia="Times New Roman" w:hAnsi="Arial" w:cs="Arial"/>
                <w:b/>
                <w:bCs/>
                <w:color w:val="000000"/>
                <w:lang w:val="en-GB"/>
              </w:rPr>
              <w:t>Demographics</w:t>
            </w:r>
          </w:p>
        </w:tc>
        <w:tc>
          <w:tcPr>
            <w:tcW w:w="2105" w:type="dxa"/>
            <w:tcBorders>
              <w:top w:val="nil"/>
              <w:left w:val="single" w:sz="4" w:space="0" w:color="000000"/>
              <w:bottom w:val="nil"/>
              <w:right w:val="nil"/>
            </w:tcBorders>
            <w:shd w:val="clear" w:color="auto" w:fill="auto"/>
            <w:noWrap/>
            <w:vAlign w:val="bottom"/>
            <w:hideMark/>
          </w:tcPr>
          <w:p w14:paraId="186E839C"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 </w:t>
            </w:r>
          </w:p>
        </w:tc>
        <w:tc>
          <w:tcPr>
            <w:tcW w:w="2192" w:type="dxa"/>
            <w:tcBorders>
              <w:top w:val="nil"/>
              <w:left w:val="nil"/>
              <w:bottom w:val="nil"/>
              <w:right w:val="nil"/>
            </w:tcBorders>
            <w:shd w:val="clear" w:color="auto" w:fill="auto"/>
            <w:noWrap/>
            <w:vAlign w:val="bottom"/>
            <w:hideMark/>
          </w:tcPr>
          <w:p w14:paraId="62BBC4D9" w14:textId="77777777" w:rsidR="00EF1F17" w:rsidRPr="00C33193" w:rsidRDefault="00EF1F17" w:rsidP="000E5EFC">
            <w:pPr>
              <w:jc w:val="center"/>
              <w:rPr>
                <w:rFonts w:ascii="Arial" w:eastAsia="Times New Roman" w:hAnsi="Arial" w:cs="Arial"/>
                <w:color w:val="000000"/>
                <w:lang w:val="en-GB"/>
              </w:rPr>
            </w:pPr>
          </w:p>
        </w:tc>
        <w:tc>
          <w:tcPr>
            <w:tcW w:w="1165" w:type="dxa"/>
            <w:tcBorders>
              <w:top w:val="nil"/>
              <w:left w:val="nil"/>
              <w:bottom w:val="nil"/>
              <w:right w:val="single" w:sz="4" w:space="0" w:color="000000"/>
            </w:tcBorders>
            <w:shd w:val="clear" w:color="auto" w:fill="auto"/>
            <w:noWrap/>
            <w:vAlign w:val="bottom"/>
            <w:hideMark/>
          </w:tcPr>
          <w:p w14:paraId="587B961E"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 </w:t>
            </w:r>
          </w:p>
        </w:tc>
        <w:tc>
          <w:tcPr>
            <w:tcW w:w="1420" w:type="dxa"/>
            <w:tcBorders>
              <w:top w:val="nil"/>
              <w:left w:val="nil"/>
              <w:bottom w:val="nil"/>
              <w:right w:val="nil"/>
            </w:tcBorders>
            <w:shd w:val="clear" w:color="auto" w:fill="auto"/>
            <w:noWrap/>
            <w:vAlign w:val="bottom"/>
            <w:hideMark/>
          </w:tcPr>
          <w:p w14:paraId="183ADC36" w14:textId="77777777" w:rsidR="00EF1F17" w:rsidRPr="00C33193" w:rsidRDefault="00EF1F17" w:rsidP="000E5EFC">
            <w:pPr>
              <w:rPr>
                <w:rFonts w:ascii="Arial" w:eastAsia="Times New Roman" w:hAnsi="Arial" w:cs="Arial"/>
                <w:color w:val="000000"/>
                <w:lang w:val="en-GB"/>
              </w:rPr>
            </w:pPr>
          </w:p>
        </w:tc>
      </w:tr>
      <w:tr w:rsidR="00EF1F17" w:rsidRPr="00C33193" w14:paraId="4D6DD087" w14:textId="77777777" w:rsidTr="000E5EFC">
        <w:trPr>
          <w:trHeight w:val="340"/>
        </w:trPr>
        <w:tc>
          <w:tcPr>
            <w:tcW w:w="115" w:type="dxa"/>
            <w:tcBorders>
              <w:top w:val="nil"/>
              <w:left w:val="single" w:sz="4" w:space="0" w:color="auto"/>
              <w:bottom w:val="nil"/>
              <w:right w:val="nil"/>
            </w:tcBorders>
            <w:shd w:val="clear" w:color="auto" w:fill="auto"/>
            <w:noWrap/>
            <w:vAlign w:val="bottom"/>
            <w:hideMark/>
          </w:tcPr>
          <w:p w14:paraId="26A7E24A" w14:textId="77777777" w:rsidR="00EF1F17" w:rsidRPr="00C33193" w:rsidRDefault="00EF1F17" w:rsidP="000E5EFC">
            <w:pPr>
              <w:rPr>
                <w:rFonts w:ascii="Arial" w:eastAsia="Times New Roman" w:hAnsi="Arial" w:cs="Arial"/>
                <w:color w:val="000000"/>
                <w:lang w:val="en-GB"/>
              </w:rPr>
            </w:pPr>
            <w:r w:rsidRPr="00C33193">
              <w:rPr>
                <w:rFonts w:ascii="Arial" w:eastAsia="Times New Roman" w:hAnsi="Arial" w:cs="Arial"/>
                <w:color w:val="000000"/>
                <w:lang w:val="en-GB"/>
              </w:rPr>
              <w:t> </w:t>
            </w:r>
          </w:p>
        </w:tc>
        <w:tc>
          <w:tcPr>
            <w:tcW w:w="5463" w:type="dxa"/>
            <w:tcBorders>
              <w:top w:val="nil"/>
              <w:left w:val="nil"/>
              <w:bottom w:val="nil"/>
              <w:right w:val="single" w:sz="4" w:space="0" w:color="auto"/>
            </w:tcBorders>
            <w:shd w:val="clear" w:color="auto" w:fill="auto"/>
            <w:noWrap/>
            <w:vAlign w:val="bottom"/>
            <w:hideMark/>
          </w:tcPr>
          <w:p w14:paraId="11A0F419" w14:textId="77777777" w:rsidR="00EF1F17" w:rsidRPr="00C33193" w:rsidRDefault="00EF1F17" w:rsidP="000E5EFC">
            <w:pPr>
              <w:rPr>
                <w:rFonts w:ascii="Arial" w:eastAsia="Times New Roman" w:hAnsi="Arial" w:cs="Arial"/>
                <w:b/>
                <w:bCs/>
                <w:color w:val="000000"/>
                <w:lang w:val="en-GB"/>
              </w:rPr>
            </w:pPr>
            <w:r w:rsidRPr="00C33193">
              <w:rPr>
                <w:rFonts w:ascii="Arial" w:eastAsia="Times New Roman" w:hAnsi="Arial" w:cs="Arial"/>
                <w:b/>
                <w:bCs/>
                <w:color w:val="000000"/>
                <w:lang w:val="en-GB"/>
              </w:rPr>
              <w:t>Age</w:t>
            </w:r>
          </w:p>
        </w:tc>
        <w:tc>
          <w:tcPr>
            <w:tcW w:w="2105" w:type="dxa"/>
            <w:tcBorders>
              <w:top w:val="nil"/>
              <w:left w:val="nil"/>
              <w:bottom w:val="nil"/>
              <w:right w:val="nil"/>
            </w:tcBorders>
            <w:shd w:val="clear" w:color="auto" w:fill="auto"/>
            <w:noWrap/>
            <w:vAlign w:val="bottom"/>
            <w:hideMark/>
          </w:tcPr>
          <w:p w14:paraId="66C113EF"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43.56 (9.34)</w:t>
            </w:r>
          </w:p>
        </w:tc>
        <w:tc>
          <w:tcPr>
            <w:tcW w:w="2192" w:type="dxa"/>
            <w:tcBorders>
              <w:top w:val="nil"/>
              <w:left w:val="nil"/>
              <w:bottom w:val="nil"/>
              <w:right w:val="nil"/>
            </w:tcBorders>
            <w:shd w:val="clear" w:color="auto" w:fill="auto"/>
            <w:noWrap/>
            <w:vAlign w:val="bottom"/>
            <w:hideMark/>
          </w:tcPr>
          <w:p w14:paraId="1826A226"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42.28 (11.57)</w:t>
            </w:r>
          </w:p>
        </w:tc>
        <w:tc>
          <w:tcPr>
            <w:tcW w:w="1165" w:type="dxa"/>
            <w:tcBorders>
              <w:top w:val="nil"/>
              <w:left w:val="nil"/>
              <w:bottom w:val="nil"/>
              <w:right w:val="single" w:sz="4" w:space="0" w:color="000000"/>
            </w:tcBorders>
            <w:shd w:val="clear" w:color="auto" w:fill="auto"/>
            <w:noWrap/>
            <w:vAlign w:val="bottom"/>
            <w:hideMark/>
          </w:tcPr>
          <w:p w14:paraId="1D275BFB"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0.608</w:t>
            </w:r>
          </w:p>
        </w:tc>
        <w:tc>
          <w:tcPr>
            <w:tcW w:w="1420" w:type="dxa"/>
            <w:tcBorders>
              <w:top w:val="nil"/>
              <w:left w:val="nil"/>
              <w:bottom w:val="nil"/>
              <w:right w:val="nil"/>
            </w:tcBorders>
            <w:shd w:val="clear" w:color="auto" w:fill="auto"/>
            <w:noWrap/>
            <w:vAlign w:val="bottom"/>
            <w:hideMark/>
          </w:tcPr>
          <w:p w14:paraId="0A006D4D" w14:textId="77777777" w:rsidR="00EF1F17" w:rsidRPr="00C33193" w:rsidRDefault="00EF1F17" w:rsidP="000E5EFC">
            <w:pPr>
              <w:rPr>
                <w:rFonts w:ascii="Arial" w:eastAsia="Times New Roman" w:hAnsi="Arial" w:cs="Arial"/>
                <w:color w:val="000000"/>
                <w:lang w:val="en-GB"/>
              </w:rPr>
            </w:pPr>
          </w:p>
        </w:tc>
      </w:tr>
      <w:tr w:rsidR="00EF1F17" w:rsidRPr="00C33193" w14:paraId="1716351F" w14:textId="77777777" w:rsidTr="000E5EFC">
        <w:trPr>
          <w:trHeight w:val="340"/>
        </w:trPr>
        <w:tc>
          <w:tcPr>
            <w:tcW w:w="115" w:type="dxa"/>
            <w:tcBorders>
              <w:top w:val="nil"/>
              <w:left w:val="single" w:sz="4" w:space="0" w:color="auto"/>
              <w:bottom w:val="nil"/>
              <w:right w:val="nil"/>
            </w:tcBorders>
            <w:shd w:val="clear" w:color="auto" w:fill="auto"/>
            <w:noWrap/>
            <w:vAlign w:val="bottom"/>
            <w:hideMark/>
          </w:tcPr>
          <w:p w14:paraId="08E5B5AB" w14:textId="77777777" w:rsidR="00EF1F17" w:rsidRPr="00C33193" w:rsidRDefault="00EF1F17" w:rsidP="000E5EFC">
            <w:pPr>
              <w:rPr>
                <w:rFonts w:ascii="Arial" w:eastAsia="Times New Roman" w:hAnsi="Arial" w:cs="Arial"/>
                <w:color w:val="000000"/>
                <w:lang w:val="en-GB"/>
              </w:rPr>
            </w:pPr>
            <w:r w:rsidRPr="00C33193">
              <w:rPr>
                <w:rFonts w:ascii="Arial" w:eastAsia="Times New Roman" w:hAnsi="Arial" w:cs="Arial"/>
                <w:color w:val="000000"/>
                <w:lang w:val="en-GB"/>
              </w:rPr>
              <w:t> </w:t>
            </w:r>
          </w:p>
        </w:tc>
        <w:tc>
          <w:tcPr>
            <w:tcW w:w="5463" w:type="dxa"/>
            <w:tcBorders>
              <w:top w:val="nil"/>
              <w:left w:val="nil"/>
              <w:bottom w:val="nil"/>
              <w:right w:val="single" w:sz="4" w:space="0" w:color="auto"/>
            </w:tcBorders>
            <w:shd w:val="clear" w:color="auto" w:fill="auto"/>
            <w:noWrap/>
            <w:vAlign w:val="bottom"/>
            <w:hideMark/>
          </w:tcPr>
          <w:p w14:paraId="6F7726CD" w14:textId="77777777" w:rsidR="00EF1F17" w:rsidRPr="00C33193" w:rsidRDefault="00EF1F17" w:rsidP="000E5EFC">
            <w:pPr>
              <w:rPr>
                <w:rFonts w:ascii="Arial" w:eastAsia="Times New Roman" w:hAnsi="Arial" w:cs="Arial"/>
                <w:b/>
                <w:bCs/>
                <w:color w:val="000000"/>
                <w:lang w:val="en-GB"/>
              </w:rPr>
            </w:pPr>
            <w:r w:rsidRPr="00C33193">
              <w:rPr>
                <w:rFonts w:ascii="Arial" w:eastAsia="Times New Roman" w:hAnsi="Arial" w:cs="Arial"/>
                <w:b/>
                <w:bCs/>
                <w:color w:val="000000"/>
                <w:lang w:val="en-GB"/>
              </w:rPr>
              <w:t>Education</w:t>
            </w:r>
          </w:p>
        </w:tc>
        <w:tc>
          <w:tcPr>
            <w:tcW w:w="2105" w:type="dxa"/>
            <w:tcBorders>
              <w:top w:val="nil"/>
              <w:left w:val="nil"/>
              <w:bottom w:val="nil"/>
              <w:right w:val="nil"/>
            </w:tcBorders>
            <w:shd w:val="clear" w:color="auto" w:fill="auto"/>
            <w:noWrap/>
            <w:vAlign w:val="bottom"/>
            <w:hideMark/>
          </w:tcPr>
          <w:p w14:paraId="491883D4"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14.31 (2.04)</w:t>
            </w:r>
          </w:p>
        </w:tc>
        <w:tc>
          <w:tcPr>
            <w:tcW w:w="2192" w:type="dxa"/>
            <w:tcBorders>
              <w:top w:val="nil"/>
              <w:left w:val="nil"/>
              <w:bottom w:val="nil"/>
              <w:right w:val="nil"/>
            </w:tcBorders>
            <w:shd w:val="clear" w:color="auto" w:fill="auto"/>
            <w:noWrap/>
            <w:vAlign w:val="bottom"/>
            <w:hideMark/>
          </w:tcPr>
          <w:p w14:paraId="4C863182"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14.84 (1.63)</w:t>
            </w:r>
          </w:p>
        </w:tc>
        <w:tc>
          <w:tcPr>
            <w:tcW w:w="1165" w:type="dxa"/>
            <w:tcBorders>
              <w:top w:val="nil"/>
              <w:left w:val="nil"/>
              <w:bottom w:val="nil"/>
              <w:right w:val="single" w:sz="4" w:space="0" w:color="000000"/>
            </w:tcBorders>
            <w:shd w:val="clear" w:color="auto" w:fill="auto"/>
            <w:noWrap/>
            <w:vAlign w:val="bottom"/>
            <w:hideMark/>
          </w:tcPr>
          <w:p w14:paraId="53262BBB"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0.220</w:t>
            </w:r>
          </w:p>
        </w:tc>
        <w:tc>
          <w:tcPr>
            <w:tcW w:w="1420" w:type="dxa"/>
            <w:tcBorders>
              <w:top w:val="nil"/>
              <w:left w:val="nil"/>
              <w:bottom w:val="nil"/>
              <w:right w:val="nil"/>
            </w:tcBorders>
            <w:shd w:val="clear" w:color="auto" w:fill="auto"/>
            <w:noWrap/>
            <w:vAlign w:val="bottom"/>
            <w:hideMark/>
          </w:tcPr>
          <w:p w14:paraId="7A688729" w14:textId="77777777" w:rsidR="00EF1F17" w:rsidRPr="00C33193" w:rsidRDefault="00EF1F17" w:rsidP="000E5EFC">
            <w:pPr>
              <w:rPr>
                <w:rFonts w:ascii="Arial" w:eastAsia="Times New Roman" w:hAnsi="Arial" w:cs="Arial"/>
                <w:color w:val="000000"/>
                <w:lang w:val="en-GB"/>
              </w:rPr>
            </w:pPr>
          </w:p>
        </w:tc>
      </w:tr>
      <w:tr w:rsidR="00EF1F17" w:rsidRPr="00C33193" w14:paraId="405D989D" w14:textId="77777777" w:rsidTr="000E5EFC">
        <w:trPr>
          <w:trHeight w:val="340"/>
        </w:trPr>
        <w:tc>
          <w:tcPr>
            <w:tcW w:w="115" w:type="dxa"/>
            <w:tcBorders>
              <w:top w:val="nil"/>
              <w:left w:val="single" w:sz="4" w:space="0" w:color="auto"/>
              <w:bottom w:val="nil"/>
              <w:right w:val="nil"/>
            </w:tcBorders>
            <w:shd w:val="clear" w:color="auto" w:fill="auto"/>
            <w:noWrap/>
            <w:vAlign w:val="bottom"/>
            <w:hideMark/>
          </w:tcPr>
          <w:p w14:paraId="4A00983D" w14:textId="77777777" w:rsidR="00EF1F17" w:rsidRPr="00C33193" w:rsidRDefault="00EF1F17" w:rsidP="000E5EFC">
            <w:pPr>
              <w:rPr>
                <w:rFonts w:ascii="Arial" w:eastAsia="Times New Roman" w:hAnsi="Arial" w:cs="Arial"/>
                <w:color w:val="000000"/>
                <w:lang w:val="en-GB"/>
              </w:rPr>
            </w:pPr>
            <w:r w:rsidRPr="00C33193">
              <w:rPr>
                <w:rFonts w:ascii="Arial" w:eastAsia="Times New Roman" w:hAnsi="Arial" w:cs="Arial"/>
                <w:color w:val="000000"/>
                <w:lang w:val="en-GB"/>
              </w:rPr>
              <w:t> </w:t>
            </w:r>
          </w:p>
        </w:tc>
        <w:tc>
          <w:tcPr>
            <w:tcW w:w="5463" w:type="dxa"/>
            <w:tcBorders>
              <w:top w:val="nil"/>
              <w:left w:val="nil"/>
              <w:bottom w:val="nil"/>
              <w:right w:val="single" w:sz="4" w:space="0" w:color="auto"/>
            </w:tcBorders>
            <w:shd w:val="clear" w:color="auto" w:fill="auto"/>
            <w:noWrap/>
            <w:vAlign w:val="bottom"/>
            <w:hideMark/>
          </w:tcPr>
          <w:p w14:paraId="13DD3BEC" w14:textId="77777777" w:rsidR="00EF1F17" w:rsidRPr="00C33193" w:rsidRDefault="00EF1F17" w:rsidP="000E5EFC">
            <w:pPr>
              <w:rPr>
                <w:rFonts w:ascii="Arial" w:eastAsia="Times New Roman" w:hAnsi="Arial" w:cs="Arial"/>
                <w:b/>
                <w:bCs/>
                <w:color w:val="000000"/>
                <w:lang w:val="en-GB"/>
              </w:rPr>
            </w:pPr>
            <w:r w:rsidRPr="00C33193">
              <w:rPr>
                <w:rFonts w:ascii="Arial" w:eastAsia="Times New Roman" w:hAnsi="Arial" w:cs="Arial"/>
                <w:b/>
                <w:bCs/>
                <w:color w:val="000000"/>
                <w:lang w:val="en-GB"/>
              </w:rPr>
              <w:t>Medication^</w:t>
            </w:r>
          </w:p>
        </w:tc>
        <w:tc>
          <w:tcPr>
            <w:tcW w:w="2105" w:type="dxa"/>
            <w:tcBorders>
              <w:top w:val="nil"/>
              <w:left w:val="nil"/>
              <w:bottom w:val="nil"/>
              <w:right w:val="nil"/>
            </w:tcBorders>
            <w:shd w:val="clear" w:color="auto" w:fill="auto"/>
            <w:noWrap/>
            <w:vAlign w:val="bottom"/>
            <w:hideMark/>
          </w:tcPr>
          <w:p w14:paraId="29508575" w14:textId="77777777" w:rsidR="00EF1F17" w:rsidRPr="00C33193" w:rsidRDefault="00EF1F17" w:rsidP="000E5EFC">
            <w:pPr>
              <w:jc w:val="center"/>
              <w:rPr>
                <w:rFonts w:ascii="Arial" w:eastAsia="Times New Roman" w:hAnsi="Arial" w:cs="Arial"/>
                <w:color w:val="000000"/>
                <w:lang w:val="en-GB"/>
              </w:rPr>
            </w:pPr>
          </w:p>
        </w:tc>
        <w:tc>
          <w:tcPr>
            <w:tcW w:w="2192" w:type="dxa"/>
            <w:tcBorders>
              <w:top w:val="nil"/>
              <w:left w:val="nil"/>
              <w:bottom w:val="nil"/>
              <w:right w:val="nil"/>
            </w:tcBorders>
            <w:shd w:val="clear" w:color="auto" w:fill="auto"/>
            <w:noWrap/>
            <w:vAlign w:val="bottom"/>
            <w:hideMark/>
          </w:tcPr>
          <w:p w14:paraId="111CA03D" w14:textId="77777777" w:rsidR="00EF1F17" w:rsidRPr="00C33193" w:rsidRDefault="00EF1F17" w:rsidP="000E5EFC">
            <w:pPr>
              <w:jc w:val="center"/>
              <w:rPr>
                <w:rFonts w:ascii="Arial" w:eastAsia="Times New Roman" w:hAnsi="Arial" w:cs="Arial"/>
                <w:color w:val="000000"/>
                <w:lang w:val="en-GB"/>
              </w:rPr>
            </w:pPr>
          </w:p>
        </w:tc>
        <w:tc>
          <w:tcPr>
            <w:tcW w:w="1165" w:type="dxa"/>
            <w:tcBorders>
              <w:top w:val="nil"/>
              <w:left w:val="nil"/>
              <w:bottom w:val="nil"/>
              <w:right w:val="single" w:sz="4" w:space="0" w:color="000000"/>
            </w:tcBorders>
            <w:shd w:val="clear" w:color="auto" w:fill="auto"/>
            <w:noWrap/>
            <w:vAlign w:val="bottom"/>
            <w:hideMark/>
          </w:tcPr>
          <w:p w14:paraId="123C099F"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 </w:t>
            </w:r>
          </w:p>
        </w:tc>
        <w:tc>
          <w:tcPr>
            <w:tcW w:w="1420" w:type="dxa"/>
            <w:tcBorders>
              <w:top w:val="nil"/>
              <w:left w:val="nil"/>
              <w:bottom w:val="nil"/>
              <w:right w:val="nil"/>
            </w:tcBorders>
            <w:shd w:val="clear" w:color="auto" w:fill="auto"/>
            <w:noWrap/>
            <w:vAlign w:val="bottom"/>
            <w:hideMark/>
          </w:tcPr>
          <w:p w14:paraId="2449DADA" w14:textId="77777777" w:rsidR="00EF1F17" w:rsidRPr="00C33193" w:rsidRDefault="00EF1F17" w:rsidP="000E5EFC">
            <w:pPr>
              <w:rPr>
                <w:rFonts w:ascii="Arial" w:eastAsia="Times New Roman" w:hAnsi="Arial" w:cs="Arial"/>
                <w:color w:val="000000"/>
                <w:lang w:val="en-GB"/>
              </w:rPr>
            </w:pPr>
          </w:p>
        </w:tc>
      </w:tr>
      <w:tr w:rsidR="00EF1F17" w:rsidRPr="00C33193" w14:paraId="77BFB95C" w14:textId="77777777" w:rsidTr="000E5EFC">
        <w:trPr>
          <w:trHeight w:val="340"/>
        </w:trPr>
        <w:tc>
          <w:tcPr>
            <w:tcW w:w="115" w:type="dxa"/>
            <w:tcBorders>
              <w:top w:val="nil"/>
              <w:left w:val="single" w:sz="4" w:space="0" w:color="auto"/>
              <w:bottom w:val="nil"/>
              <w:right w:val="nil"/>
            </w:tcBorders>
            <w:shd w:val="clear" w:color="auto" w:fill="auto"/>
            <w:noWrap/>
            <w:vAlign w:val="bottom"/>
            <w:hideMark/>
          </w:tcPr>
          <w:p w14:paraId="61B49A72" w14:textId="77777777" w:rsidR="00EF1F17" w:rsidRPr="00C33193" w:rsidRDefault="00EF1F17" w:rsidP="000E5EFC">
            <w:pPr>
              <w:rPr>
                <w:rFonts w:ascii="Arial" w:eastAsia="Times New Roman" w:hAnsi="Arial" w:cs="Arial"/>
                <w:color w:val="000000"/>
                <w:lang w:val="en-GB"/>
              </w:rPr>
            </w:pPr>
            <w:r w:rsidRPr="00C33193">
              <w:rPr>
                <w:rFonts w:ascii="Arial" w:eastAsia="Times New Roman" w:hAnsi="Arial" w:cs="Arial"/>
                <w:color w:val="000000"/>
                <w:lang w:val="en-GB"/>
              </w:rPr>
              <w:t> </w:t>
            </w:r>
          </w:p>
        </w:tc>
        <w:tc>
          <w:tcPr>
            <w:tcW w:w="5463" w:type="dxa"/>
            <w:tcBorders>
              <w:top w:val="nil"/>
              <w:left w:val="nil"/>
              <w:bottom w:val="nil"/>
              <w:right w:val="single" w:sz="4" w:space="0" w:color="auto"/>
            </w:tcBorders>
            <w:shd w:val="clear" w:color="auto" w:fill="auto"/>
            <w:noWrap/>
            <w:vAlign w:val="bottom"/>
            <w:hideMark/>
          </w:tcPr>
          <w:p w14:paraId="6895F854" w14:textId="77777777" w:rsidR="00EF1F17" w:rsidRPr="00C33193" w:rsidRDefault="00EF1F17" w:rsidP="000E5EFC">
            <w:pPr>
              <w:rPr>
                <w:rFonts w:ascii="Arial" w:eastAsia="Times New Roman" w:hAnsi="Arial" w:cs="Arial"/>
                <w:i/>
                <w:iCs/>
                <w:color w:val="000000"/>
                <w:lang w:val="en-GB"/>
              </w:rPr>
            </w:pPr>
            <w:r w:rsidRPr="00C33193">
              <w:rPr>
                <w:rFonts w:ascii="Arial" w:eastAsia="Times New Roman" w:hAnsi="Arial" w:cs="Arial"/>
                <w:i/>
                <w:iCs/>
                <w:color w:val="000000"/>
                <w:lang w:val="en-GB"/>
              </w:rPr>
              <w:t xml:space="preserve">   anti-psychotics: n(typical,atypical)</w:t>
            </w:r>
          </w:p>
        </w:tc>
        <w:tc>
          <w:tcPr>
            <w:tcW w:w="2105" w:type="dxa"/>
            <w:tcBorders>
              <w:top w:val="nil"/>
              <w:left w:val="nil"/>
              <w:bottom w:val="nil"/>
              <w:right w:val="nil"/>
            </w:tcBorders>
            <w:shd w:val="clear" w:color="auto" w:fill="auto"/>
            <w:noWrap/>
            <w:vAlign w:val="bottom"/>
            <w:hideMark/>
          </w:tcPr>
          <w:p w14:paraId="5C64A474"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(4,12)</w:t>
            </w:r>
          </w:p>
        </w:tc>
        <w:tc>
          <w:tcPr>
            <w:tcW w:w="2192" w:type="dxa"/>
            <w:tcBorders>
              <w:top w:val="nil"/>
              <w:left w:val="nil"/>
              <w:bottom w:val="nil"/>
              <w:right w:val="nil"/>
            </w:tcBorders>
            <w:shd w:val="clear" w:color="auto" w:fill="auto"/>
            <w:noWrap/>
            <w:vAlign w:val="bottom"/>
            <w:hideMark/>
          </w:tcPr>
          <w:p w14:paraId="1C05CC3C"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0</w:t>
            </w:r>
          </w:p>
        </w:tc>
        <w:tc>
          <w:tcPr>
            <w:tcW w:w="1165" w:type="dxa"/>
            <w:tcBorders>
              <w:top w:val="nil"/>
              <w:left w:val="nil"/>
              <w:bottom w:val="nil"/>
              <w:right w:val="single" w:sz="4" w:space="0" w:color="000000"/>
            </w:tcBorders>
            <w:shd w:val="clear" w:color="auto" w:fill="auto"/>
            <w:noWrap/>
            <w:vAlign w:val="bottom"/>
            <w:hideMark/>
          </w:tcPr>
          <w:p w14:paraId="2578E853"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NA</w:t>
            </w:r>
          </w:p>
        </w:tc>
        <w:tc>
          <w:tcPr>
            <w:tcW w:w="1420" w:type="dxa"/>
            <w:tcBorders>
              <w:top w:val="nil"/>
              <w:left w:val="nil"/>
              <w:bottom w:val="nil"/>
              <w:right w:val="nil"/>
            </w:tcBorders>
            <w:shd w:val="clear" w:color="auto" w:fill="auto"/>
            <w:noWrap/>
            <w:vAlign w:val="bottom"/>
            <w:hideMark/>
          </w:tcPr>
          <w:p w14:paraId="2A75796B" w14:textId="77777777" w:rsidR="00EF1F17" w:rsidRPr="00C33193" w:rsidRDefault="00EF1F17" w:rsidP="000E5EFC">
            <w:pPr>
              <w:rPr>
                <w:rFonts w:ascii="Arial" w:eastAsia="Times New Roman" w:hAnsi="Arial" w:cs="Arial"/>
                <w:color w:val="000000"/>
                <w:lang w:val="en-GB"/>
              </w:rPr>
            </w:pPr>
          </w:p>
        </w:tc>
      </w:tr>
      <w:tr w:rsidR="00EF1F17" w:rsidRPr="00C33193" w14:paraId="69D7BA62" w14:textId="77777777" w:rsidTr="000E5EFC">
        <w:trPr>
          <w:trHeight w:val="340"/>
        </w:trPr>
        <w:tc>
          <w:tcPr>
            <w:tcW w:w="115" w:type="dxa"/>
            <w:tcBorders>
              <w:top w:val="nil"/>
              <w:left w:val="single" w:sz="4" w:space="0" w:color="auto"/>
              <w:bottom w:val="nil"/>
              <w:right w:val="nil"/>
            </w:tcBorders>
            <w:shd w:val="clear" w:color="auto" w:fill="auto"/>
            <w:noWrap/>
            <w:vAlign w:val="bottom"/>
            <w:hideMark/>
          </w:tcPr>
          <w:p w14:paraId="1137072B" w14:textId="77777777" w:rsidR="00EF1F17" w:rsidRPr="00C33193" w:rsidRDefault="00EF1F17" w:rsidP="000E5EFC">
            <w:pPr>
              <w:rPr>
                <w:rFonts w:ascii="Arial" w:eastAsia="Times New Roman" w:hAnsi="Arial" w:cs="Arial"/>
                <w:color w:val="000000"/>
                <w:lang w:val="en-GB"/>
              </w:rPr>
            </w:pPr>
            <w:r w:rsidRPr="00C33193">
              <w:rPr>
                <w:rFonts w:ascii="Arial" w:eastAsia="Times New Roman" w:hAnsi="Arial" w:cs="Arial"/>
                <w:color w:val="000000"/>
                <w:lang w:val="en-GB"/>
              </w:rPr>
              <w:t> </w:t>
            </w:r>
          </w:p>
        </w:tc>
        <w:tc>
          <w:tcPr>
            <w:tcW w:w="5463" w:type="dxa"/>
            <w:tcBorders>
              <w:top w:val="nil"/>
              <w:left w:val="nil"/>
              <w:bottom w:val="nil"/>
              <w:right w:val="single" w:sz="4" w:space="0" w:color="auto"/>
            </w:tcBorders>
            <w:shd w:val="clear" w:color="auto" w:fill="auto"/>
            <w:noWrap/>
            <w:vAlign w:val="bottom"/>
            <w:hideMark/>
          </w:tcPr>
          <w:p w14:paraId="071AC322" w14:textId="77777777" w:rsidR="00EF1F17" w:rsidRPr="00C33193" w:rsidRDefault="00EF1F17" w:rsidP="000E5EFC">
            <w:pPr>
              <w:rPr>
                <w:rFonts w:ascii="Arial" w:eastAsia="Times New Roman" w:hAnsi="Arial" w:cs="Arial"/>
                <w:i/>
                <w:iCs/>
                <w:color w:val="000000"/>
                <w:lang w:val="en-GB"/>
              </w:rPr>
            </w:pPr>
            <w:r w:rsidRPr="00C33193">
              <w:rPr>
                <w:rFonts w:ascii="Arial" w:eastAsia="Times New Roman" w:hAnsi="Arial" w:cs="Arial"/>
                <w:i/>
                <w:iCs/>
                <w:color w:val="000000"/>
                <w:lang w:val="en-GB"/>
              </w:rPr>
              <w:t xml:space="preserve">   anti-epileptics: n </w:t>
            </w:r>
          </w:p>
        </w:tc>
        <w:tc>
          <w:tcPr>
            <w:tcW w:w="2105" w:type="dxa"/>
            <w:tcBorders>
              <w:top w:val="nil"/>
              <w:left w:val="nil"/>
              <w:bottom w:val="nil"/>
              <w:right w:val="nil"/>
            </w:tcBorders>
            <w:shd w:val="clear" w:color="auto" w:fill="auto"/>
            <w:noWrap/>
            <w:vAlign w:val="bottom"/>
            <w:hideMark/>
          </w:tcPr>
          <w:p w14:paraId="28BC9FE8"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5</w:t>
            </w:r>
          </w:p>
        </w:tc>
        <w:tc>
          <w:tcPr>
            <w:tcW w:w="2192" w:type="dxa"/>
            <w:tcBorders>
              <w:top w:val="nil"/>
              <w:left w:val="nil"/>
              <w:bottom w:val="nil"/>
              <w:right w:val="nil"/>
            </w:tcBorders>
            <w:shd w:val="clear" w:color="auto" w:fill="auto"/>
            <w:noWrap/>
            <w:vAlign w:val="bottom"/>
            <w:hideMark/>
          </w:tcPr>
          <w:p w14:paraId="674F55BB"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0</w:t>
            </w:r>
          </w:p>
        </w:tc>
        <w:tc>
          <w:tcPr>
            <w:tcW w:w="1165" w:type="dxa"/>
            <w:tcBorders>
              <w:top w:val="nil"/>
              <w:left w:val="nil"/>
              <w:bottom w:val="nil"/>
              <w:right w:val="single" w:sz="4" w:space="0" w:color="000000"/>
            </w:tcBorders>
            <w:shd w:val="clear" w:color="auto" w:fill="auto"/>
            <w:noWrap/>
            <w:vAlign w:val="bottom"/>
            <w:hideMark/>
          </w:tcPr>
          <w:p w14:paraId="6998C797"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NA</w:t>
            </w:r>
          </w:p>
        </w:tc>
        <w:tc>
          <w:tcPr>
            <w:tcW w:w="1420" w:type="dxa"/>
            <w:tcBorders>
              <w:top w:val="nil"/>
              <w:left w:val="nil"/>
              <w:bottom w:val="nil"/>
              <w:right w:val="nil"/>
            </w:tcBorders>
            <w:shd w:val="clear" w:color="auto" w:fill="auto"/>
            <w:noWrap/>
            <w:vAlign w:val="bottom"/>
            <w:hideMark/>
          </w:tcPr>
          <w:p w14:paraId="252DD1D6" w14:textId="77777777" w:rsidR="00EF1F17" w:rsidRPr="00C33193" w:rsidRDefault="00EF1F17" w:rsidP="000E5EFC">
            <w:pPr>
              <w:rPr>
                <w:rFonts w:ascii="Arial" w:eastAsia="Times New Roman" w:hAnsi="Arial" w:cs="Arial"/>
                <w:color w:val="000000"/>
                <w:lang w:val="en-GB"/>
              </w:rPr>
            </w:pPr>
          </w:p>
        </w:tc>
      </w:tr>
      <w:tr w:rsidR="00EF1F17" w:rsidRPr="00C33193" w14:paraId="224DB4C5" w14:textId="77777777" w:rsidTr="000E5EFC">
        <w:trPr>
          <w:trHeight w:val="340"/>
        </w:trPr>
        <w:tc>
          <w:tcPr>
            <w:tcW w:w="115" w:type="dxa"/>
            <w:tcBorders>
              <w:top w:val="nil"/>
              <w:left w:val="single" w:sz="4" w:space="0" w:color="auto"/>
              <w:bottom w:val="nil"/>
              <w:right w:val="nil"/>
            </w:tcBorders>
            <w:shd w:val="clear" w:color="auto" w:fill="auto"/>
            <w:noWrap/>
            <w:vAlign w:val="bottom"/>
            <w:hideMark/>
          </w:tcPr>
          <w:p w14:paraId="141631EC" w14:textId="77777777" w:rsidR="00EF1F17" w:rsidRPr="00C33193" w:rsidRDefault="00EF1F17" w:rsidP="000E5EFC">
            <w:pPr>
              <w:rPr>
                <w:rFonts w:ascii="Arial" w:eastAsia="Times New Roman" w:hAnsi="Arial" w:cs="Arial"/>
                <w:color w:val="000000"/>
                <w:lang w:val="en-GB"/>
              </w:rPr>
            </w:pPr>
            <w:r w:rsidRPr="00C33193">
              <w:rPr>
                <w:rFonts w:ascii="Arial" w:eastAsia="Times New Roman" w:hAnsi="Arial" w:cs="Arial"/>
                <w:color w:val="000000"/>
                <w:lang w:val="en-GB"/>
              </w:rPr>
              <w:t> </w:t>
            </w:r>
          </w:p>
        </w:tc>
        <w:tc>
          <w:tcPr>
            <w:tcW w:w="5463" w:type="dxa"/>
            <w:tcBorders>
              <w:top w:val="nil"/>
              <w:left w:val="nil"/>
              <w:bottom w:val="nil"/>
              <w:right w:val="single" w:sz="4" w:space="0" w:color="auto"/>
            </w:tcBorders>
            <w:shd w:val="clear" w:color="auto" w:fill="auto"/>
            <w:noWrap/>
            <w:vAlign w:val="bottom"/>
            <w:hideMark/>
          </w:tcPr>
          <w:p w14:paraId="3285E8ED" w14:textId="77777777" w:rsidR="00EF1F17" w:rsidRPr="00C33193" w:rsidRDefault="00EF1F17" w:rsidP="000E5EFC">
            <w:pPr>
              <w:rPr>
                <w:rFonts w:ascii="Arial" w:eastAsia="Times New Roman" w:hAnsi="Arial" w:cs="Arial"/>
                <w:i/>
                <w:iCs/>
                <w:color w:val="000000"/>
                <w:lang w:val="en-GB"/>
              </w:rPr>
            </w:pPr>
            <w:r w:rsidRPr="00C33193">
              <w:rPr>
                <w:rFonts w:ascii="Arial" w:eastAsia="Times New Roman" w:hAnsi="Arial" w:cs="Arial"/>
                <w:i/>
                <w:iCs/>
                <w:color w:val="000000"/>
                <w:lang w:val="en-GB"/>
              </w:rPr>
              <w:t xml:space="preserve">   anti-depressants: n</w:t>
            </w:r>
          </w:p>
        </w:tc>
        <w:tc>
          <w:tcPr>
            <w:tcW w:w="2105" w:type="dxa"/>
            <w:tcBorders>
              <w:top w:val="nil"/>
              <w:left w:val="nil"/>
              <w:bottom w:val="nil"/>
              <w:right w:val="nil"/>
            </w:tcBorders>
            <w:shd w:val="clear" w:color="auto" w:fill="auto"/>
            <w:noWrap/>
            <w:vAlign w:val="bottom"/>
            <w:hideMark/>
          </w:tcPr>
          <w:p w14:paraId="56459CCB"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21</w:t>
            </w:r>
          </w:p>
        </w:tc>
        <w:tc>
          <w:tcPr>
            <w:tcW w:w="2192" w:type="dxa"/>
            <w:tcBorders>
              <w:top w:val="nil"/>
              <w:left w:val="nil"/>
              <w:bottom w:val="nil"/>
              <w:right w:val="nil"/>
            </w:tcBorders>
            <w:shd w:val="clear" w:color="auto" w:fill="auto"/>
            <w:noWrap/>
            <w:vAlign w:val="bottom"/>
            <w:hideMark/>
          </w:tcPr>
          <w:p w14:paraId="479D09A3"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0</w:t>
            </w:r>
          </w:p>
        </w:tc>
        <w:tc>
          <w:tcPr>
            <w:tcW w:w="1165" w:type="dxa"/>
            <w:tcBorders>
              <w:top w:val="nil"/>
              <w:left w:val="nil"/>
              <w:bottom w:val="nil"/>
              <w:right w:val="single" w:sz="4" w:space="0" w:color="000000"/>
            </w:tcBorders>
            <w:shd w:val="clear" w:color="auto" w:fill="auto"/>
            <w:noWrap/>
            <w:vAlign w:val="bottom"/>
            <w:hideMark/>
          </w:tcPr>
          <w:p w14:paraId="6E878FA6"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NA</w:t>
            </w:r>
          </w:p>
        </w:tc>
        <w:tc>
          <w:tcPr>
            <w:tcW w:w="1420" w:type="dxa"/>
            <w:tcBorders>
              <w:top w:val="nil"/>
              <w:left w:val="nil"/>
              <w:bottom w:val="nil"/>
              <w:right w:val="nil"/>
            </w:tcBorders>
            <w:shd w:val="clear" w:color="auto" w:fill="auto"/>
            <w:noWrap/>
            <w:vAlign w:val="bottom"/>
            <w:hideMark/>
          </w:tcPr>
          <w:p w14:paraId="619EC08C" w14:textId="77777777" w:rsidR="00EF1F17" w:rsidRPr="00C33193" w:rsidRDefault="00EF1F17" w:rsidP="000E5EFC">
            <w:pPr>
              <w:rPr>
                <w:rFonts w:ascii="Arial" w:eastAsia="Times New Roman" w:hAnsi="Arial" w:cs="Arial"/>
                <w:color w:val="000000"/>
                <w:lang w:val="en-GB"/>
              </w:rPr>
            </w:pPr>
          </w:p>
        </w:tc>
      </w:tr>
      <w:tr w:rsidR="00EF1F17" w:rsidRPr="00C33193" w14:paraId="39E83FD6" w14:textId="77777777" w:rsidTr="000E5EFC">
        <w:trPr>
          <w:trHeight w:val="340"/>
        </w:trPr>
        <w:tc>
          <w:tcPr>
            <w:tcW w:w="5578" w:type="dxa"/>
            <w:gridSpan w:val="2"/>
            <w:tcBorders>
              <w:top w:val="nil"/>
              <w:left w:val="single" w:sz="4" w:space="0" w:color="auto"/>
              <w:bottom w:val="nil"/>
              <w:right w:val="nil"/>
            </w:tcBorders>
            <w:shd w:val="clear" w:color="auto" w:fill="auto"/>
            <w:noWrap/>
            <w:vAlign w:val="bottom"/>
            <w:hideMark/>
          </w:tcPr>
          <w:p w14:paraId="1A1CB15A" w14:textId="77777777" w:rsidR="00EF1F17" w:rsidRPr="00C33193" w:rsidRDefault="00EF1F17" w:rsidP="000E5EFC">
            <w:pPr>
              <w:rPr>
                <w:rFonts w:ascii="Arial" w:eastAsia="Times New Roman" w:hAnsi="Arial" w:cs="Arial"/>
                <w:b/>
                <w:bCs/>
                <w:color w:val="000000"/>
                <w:lang w:val="en-GB"/>
              </w:rPr>
            </w:pPr>
            <w:r w:rsidRPr="00C33193">
              <w:rPr>
                <w:rFonts w:ascii="Arial" w:eastAsia="Times New Roman" w:hAnsi="Arial" w:cs="Arial"/>
                <w:b/>
                <w:bCs/>
                <w:color w:val="000000"/>
                <w:lang w:val="en-GB"/>
              </w:rPr>
              <w:t>Dissociative measures</w:t>
            </w:r>
          </w:p>
        </w:tc>
        <w:tc>
          <w:tcPr>
            <w:tcW w:w="2105" w:type="dxa"/>
            <w:tcBorders>
              <w:top w:val="nil"/>
              <w:left w:val="single" w:sz="4" w:space="0" w:color="auto"/>
              <w:bottom w:val="nil"/>
              <w:right w:val="nil"/>
            </w:tcBorders>
            <w:shd w:val="clear" w:color="auto" w:fill="auto"/>
            <w:noWrap/>
            <w:vAlign w:val="bottom"/>
            <w:hideMark/>
          </w:tcPr>
          <w:p w14:paraId="59CC7D9F"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 </w:t>
            </w:r>
          </w:p>
        </w:tc>
        <w:tc>
          <w:tcPr>
            <w:tcW w:w="2192" w:type="dxa"/>
            <w:tcBorders>
              <w:top w:val="nil"/>
              <w:left w:val="nil"/>
              <w:bottom w:val="nil"/>
              <w:right w:val="nil"/>
            </w:tcBorders>
            <w:shd w:val="clear" w:color="auto" w:fill="auto"/>
            <w:noWrap/>
            <w:vAlign w:val="bottom"/>
            <w:hideMark/>
          </w:tcPr>
          <w:p w14:paraId="14FC11E2" w14:textId="77777777" w:rsidR="00EF1F17" w:rsidRPr="00C33193" w:rsidRDefault="00EF1F17" w:rsidP="000E5EFC">
            <w:pPr>
              <w:jc w:val="center"/>
              <w:rPr>
                <w:rFonts w:ascii="Arial" w:eastAsia="Times New Roman" w:hAnsi="Arial" w:cs="Arial"/>
                <w:color w:val="000000"/>
                <w:lang w:val="en-GB"/>
              </w:rPr>
            </w:pPr>
          </w:p>
        </w:tc>
        <w:tc>
          <w:tcPr>
            <w:tcW w:w="1165" w:type="dxa"/>
            <w:tcBorders>
              <w:top w:val="nil"/>
              <w:left w:val="nil"/>
              <w:bottom w:val="nil"/>
              <w:right w:val="single" w:sz="4" w:space="0" w:color="auto"/>
            </w:tcBorders>
            <w:shd w:val="clear" w:color="auto" w:fill="auto"/>
            <w:noWrap/>
            <w:vAlign w:val="bottom"/>
            <w:hideMark/>
          </w:tcPr>
          <w:p w14:paraId="2546CBC4"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 </w:t>
            </w:r>
          </w:p>
        </w:tc>
        <w:tc>
          <w:tcPr>
            <w:tcW w:w="1420" w:type="dxa"/>
            <w:tcBorders>
              <w:top w:val="nil"/>
              <w:left w:val="nil"/>
              <w:bottom w:val="nil"/>
              <w:right w:val="nil"/>
            </w:tcBorders>
            <w:shd w:val="clear" w:color="auto" w:fill="auto"/>
            <w:noWrap/>
            <w:vAlign w:val="bottom"/>
            <w:hideMark/>
          </w:tcPr>
          <w:p w14:paraId="2803EEAE" w14:textId="77777777" w:rsidR="00EF1F17" w:rsidRPr="00C33193" w:rsidRDefault="00EF1F17" w:rsidP="000E5EFC">
            <w:pPr>
              <w:rPr>
                <w:rFonts w:ascii="Arial" w:eastAsia="Times New Roman" w:hAnsi="Arial" w:cs="Arial"/>
                <w:color w:val="000000"/>
                <w:lang w:val="en-GB"/>
              </w:rPr>
            </w:pPr>
          </w:p>
        </w:tc>
      </w:tr>
      <w:tr w:rsidR="00EF1F17" w:rsidRPr="00C33193" w14:paraId="1D49D69E" w14:textId="77777777" w:rsidTr="000E5EFC">
        <w:trPr>
          <w:trHeight w:val="340"/>
        </w:trPr>
        <w:tc>
          <w:tcPr>
            <w:tcW w:w="115" w:type="dxa"/>
            <w:tcBorders>
              <w:top w:val="nil"/>
              <w:left w:val="single" w:sz="4" w:space="0" w:color="auto"/>
              <w:bottom w:val="nil"/>
              <w:right w:val="nil"/>
            </w:tcBorders>
            <w:shd w:val="clear" w:color="auto" w:fill="auto"/>
            <w:noWrap/>
            <w:vAlign w:val="bottom"/>
            <w:hideMark/>
          </w:tcPr>
          <w:p w14:paraId="1DE5B82E" w14:textId="77777777" w:rsidR="00EF1F17" w:rsidRPr="00C33193" w:rsidRDefault="00EF1F17" w:rsidP="000E5EFC">
            <w:pPr>
              <w:rPr>
                <w:rFonts w:ascii="Arial" w:eastAsia="Times New Roman" w:hAnsi="Arial" w:cs="Arial"/>
                <w:color w:val="000000"/>
                <w:lang w:val="en-GB"/>
              </w:rPr>
            </w:pPr>
            <w:r w:rsidRPr="00C33193">
              <w:rPr>
                <w:rFonts w:ascii="Arial" w:eastAsia="Times New Roman" w:hAnsi="Arial" w:cs="Arial"/>
                <w:color w:val="000000"/>
                <w:lang w:val="en-GB"/>
              </w:rPr>
              <w:t> </w:t>
            </w:r>
          </w:p>
        </w:tc>
        <w:tc>
          <w:tcPr>
            <w:tcW w:w="5463" w:type="dxa"/>
            <w:tcBorders>
              <w:top w:val="nil"/>
              <w:left w:val="nil"/>
              <w:bottom w:val="nil"/>
              <w:right w:val="single" w:sz="4" w:space="0" w:color="000000"/>
            </w:tcBorders>
            <w:shd w:val="clear" w:color="auto" w:fill="auto"/>
            <w:noWrap/>
            <w:vAlign w:val="bottom"/>
            <w:hideMark/>
          </w:tcPr>
          <w:p w14:paraId="10D78279" w14:textId="77777777" w:rsidR="00EF1F17" w:rsidRPr="00C33193" w:rsidRDefault="00EF1F17" w:rsidP="000E5EFC">
            <w:pPr>
              <w:rPr>
                <w:rFonts w:ascii="Arial" w:eastAsia="Times New Roman" w:hAnsi="Arial" w:cs="Arial"/>
                <w:b/>
                <w:bCs/>
                <w:color w:val="000000"/>
                <w:lang w:val="en-GB"/>
              </w:rPr>
            </w:pPr>
            <w:r w:rsidRPr="00C33193">
              <w:rPr>
                <w:rFonts w:ascii="Arial" w:eastAsia="Times New Roman" w:hAnsi="Arial" w:cs="Arial"/>
                <w:b/>
                <w:bCs/>
                <w:color w:val="000000"/>
                <w:lang w:val="en-GB"/>
              </w:rPr>
              <w:t>Dissociative symptoms</w:t>
            </w:r>
          </w:p>
        </w:tc>
        <w:tc>
          <w:tcPr>
            <w:tcW w:w="2105" w:type="dxa"/>
            <w:tcBorders>
              <w:top w:val="nil"/>
              <w:left w:val="nil"/>
              <w:bottom w:val="nil"/>
              <w:right w:val="nil"/>
            </w:tcBorders>
            <w:shd w:val="clear" w:color="auto" w:fill="auto"/>
            <w:noWrap/>
            <w:vAlign w:val="bottom"/>
            <w:hideMark/>
          </w:tcPr>
          <w:p w14:paraId="36B5138E"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 </w:t>
            </w:r>
          </w:p>
        </w:tc>
        <w:tc>
          <w:tcPr>
            <w:tcW w:w="2192" w:type="dxa"/>
            <w:tcBorders>
              <w:top w:val="nil"/>
              <w:left w:val="nil"/>
              <w:bottom w:val="nil"/>
              <w:right w:val="nil"/>
            </w:tcBorders>
            <w:shd w:val="clear" w:color="auto" w:fill="auto"/>
            <w:noWrap/>
            <w:vAlign w:val="bottom"/>
            <w:hideMark/>
          </w:tcPr>
          <w:p w14:paraId="5BBBFFE2" w14:textId="77777777" w:rsidR="00EF1F17" w:rsidRPr="00C33193" w:rsidRDefault="00EF1F17" w:rsidP="000E5EFC">
            <w:pPr>
              <w:jc w:val="center"/>
              <w:rPr>
                <w:rFonts w:ascii="Arial" w:eastAsia="Times New Roman" w:hAnsi="Arial" w:cs="Arial"/>
                <w:color w:val="000000"/>
                <w:lang w:val="en-GB"/>
              </w:rPr>
            </w:pPr>
          </w:p>
        </w:tc>
        <w:tc>
          <w:tcPr>
            <w:tcW w:w="1165" w:type="dxa"/>
            <w:tcBorders>
              <w:top w:val="nil"/>
              <w:left w:val="nil"/>
              <w:bottom w:val="nil"/>
              <w:right w:val="single" w:sz="4" w:space="0" w:color="000000"/>
            </w:tcBorders>
            <w:shd w:val="clear" w:color="auto" w:fill="auto"/>
            <w:noWrap/>
            <w:vAlign w:val="bottom"/>
            <w:hideMark/>
          </w:tcPr>
          <w:p w14:paraId="56545E03"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 </w:t>
            </w:r>
          </w:p>
        </w:tc>
        <w:tc>
          <w:tcPr>
            <w:tcW w:w="1420" w:type="dxa"/>
            <w:tcBorders>
              <w:top w:val="nil"/>
              <w:left w:val="nil"/>
              <w:bottom w:val="nil"/>
              <w:right w:val="nil"/>
            </w:tcBorders>
            <w:shd w:val="clear" w:color="auto" w:fill="auto"/>
            <w:noWrap/>
            <w:vAlign w:val="bottom"/>
            <w:hideMark/>
          </w:tcPr>
          <w:p w14:paraId="7DA77BEB" w14:textId="77777777" w:rsidR="00EF1F17" w:rsidRPr="00C33193" w:rsidRDefault="00EF1F17" w:rsidP="000E5EFC">
            <w:pPr>
              <w:rPr>
                <w:rFonts w:ascii="Arial" w:eastAsia="Times New Roman" w:hAnsi="Arial" w:cs="Arial"/>
                <w:color w:val="000000"/>
                <w:lang w:val="en-GB"/>
              </w:rPr>
            </w:pPr>
          </w:p>
        </w:tc>
      </w:tr>
      <w:tr w:rsidR="00EF1F17" w:rsidRPr="00C33193" w14:paraId="65C61426" w14:textId="77777777" w:rsidTr="000E5EFC">
        <w:trPr>
          <w:trHeight w:val="340"/>
        </w:trPr>
        <w:tc>
          <w:tcPr>
            <w:tcW w:w="115" w:type="dxa"/>
            <w:tcBorders>
              <w:top w:val="nil"/>
              <w:left w:val="single" w:sz="4" w:space="0" w:color="auto"/>
              <w:bottom w:val="nil"/>
              <w:right w:val="nil"/>
            </w:tcBorders>
            <w:shd w:val="clear" w:color="auto" w:fill="auto"/>
            <w:noWrap/>
            <w:vAlign w:val="bottom"/>
            <w:hideMark/>
          </w:tcPr>
          <w:p w14:paraId="34BB22C5" w14:textId="77777777" w:rsidR="00EF1F17" w:rsidRPr="00C33193" w:rsidRDefault="00EF1F17" w:rsidP="000E5EFC">
            <w:pPr>
              <w:rPr>
                <w:rFonts w:ascii="Arial" w:eastAsia="Times New Roman" w:hAnsi="Arial" w:cs="Arial"/>
                <w:color w:val="000000"/>
                <w:lang w:val="en-GB"/>
              </w:rPr>
            </w:pPr>
            <w:r w:rsidRPr="00C33193">
              <w:rPr>
                <w:rFonts w:ascii="Arial" w:eastAsia="Times New Roman" w:hAnsi="Arial" w:cs="Arial"/>
                <w:color w:val="000000"/>
                <w:lang w:val="en-GB"/>
              </w:rPr>
              <w:t> </w:t>
            </w:r>
          </w:p>
        </w:tc>
        <w:tc>
          <w:tcPr>
            <w:tcW w:w="5463" w:type="dxa"/>
            <w:tcBorders>
              <w:top w:val="nil"/>
              <w:left w:val="nil"/>
              <w:bottom w:val="nil"/>
              <w:right w:val="single" w:sz="4" w:space="0" w:color="000000"/>
            </w:tcBorders>
            <w:shd w:val="clear" w:color="auto" w:fill="auto"/>
            <w:noWrap/>
            <w:vAlign w:val="bottom"/>
            <w:hideMark/>
          </w:tcPr>
          <w:p w14:paraId="0A31C253" w14:textId="77777777" w:rsidR="00EF1F17" w:rsidRPr="00C33193" w:rsidRDefault="00EF1F17" w:rsidP="000E5EFC">
            <w:pPr>
              <w:rPr>
                <w:rFonts w:ascii="Arial" w:eastAsia="Times New Roman" w:hAnsi="Arial" w:cs="Arial"/>
                <w:i/>
                <w:iCs/>
                <w:color w:val="000000"/>
                <w:lang w:val="en-GB"/>
              </w:rPr>
            </w:pPr>
            <w:r w:rsidRPr="00C33193">
              <w:rPr>
                <w:rFonts w:ascii="Arial" w:eastAsia="Times New Roman" w:hAnsi="Arial" w:cs="Arial"/>
                <w:i/>
                <w:iCs/>
                <w:color w:val="000000"/>
                <w:lang w:val="en-GB"/>
              </w:rPr>
              <w:t xml:space="preserve">   psychoform (DES)</w:t>
            </w:r>
          </w:p>
        </w:tc>
        <w:tc>
          <w:tcPr>
            <w:tcW w:w="2105" w:type="dxa"/>
            <w:tcBorders>
              <w:top w:val="nil"/>
              <w:left w:val="nil"/>
              <w:bottom w:val="nil"/>
              <w:right w:val="nil"/>
            </w:tcBorders>
            <w:shd w:val="clear" w:color="auto" w:fill="auto"/>
            <w:noWrap/>
            <w:vAlign w:val="bottom"/>
            <w:hideMark/>
          </w:tcPr>
          <w:p w14:paraId="31F8AD11"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50.14 (17.94)</w:t>
            </w:r>
          </w:p>
        </w:tc>
        <w:tc>
          <w:tcPr>
            <w:tcW w:w="2192" w:type="dxa"/>
            <w:tcBorders>
              <w:top w:val="nil"/>
              <w:left w:val="nil"/>
              <w:bottom w:val="nil"/>
              <w:right w:val="nil"/>
            </w:tcBorders>
            <w:shd w:val="clear" w:color="auto" w:fill="auto"/>
            <w:noWrap/>
            <w:vAlign w:val="bottom"/>
            <w:hideMark/>
          </w:tcPr>
          <w:p w14:paraId="2C142085"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6.31 (5.07)</w:t>
            </w:r>
          </w:p>
        </w:tc>
        <w:tc>
          <w:tcPr>
            <w:tcW w:w="1165" w:type="dxa"/>
            <w:tcBorders>
              <w:top w:val="nil"/>
              <w:left w:val="nil"/>
              <w:bottom w:val="nil"/>
              <w:right w:val="single" w:sz="4" w:space="0" w:color="auto"/>
            </w:tcBorders>
            <w:shd w:val="clear" w:color="auto" w:fill="auto"/>
            <w:vAlign w:val="bottom"/>
            <w:hideMark/>
          </w:tcPr>
          <w:p w14:paraId="1B3062C3"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&lt;0.001*</w:t>
            </w:r>
          </w:p>
        </w:tc>
        <w:tc>
          <w:tcPr>
            <w:tcW w:w="1420" w:type="dxa"/>
            <w:tcBorders>
              <w:top w:val="nil"/>
              <w:left w:val="nil"/>
              <w:bottom w:val="nil"/>
              <w:right w:val="nil"/>
            </w:tcBorders>
            <w:shd w:val="clear" w:color="auto" w:fill="auto"/>
            <w:noWrap/>
            <w:vAlign w:val="bottom"/>
            <w:hideMark/>
          </w:tcPr>
          <w:p w14:paraId="2A49A184" w14:textId="77777777" w:rsidR="00EF1F17" w:rsidRPr="00C33193" w:rsidRDefault="00EF1F17" w:rsidP="000E5EFC">
            <w:pPr>
              <w:rPr>
                <w:rFonts w:ascii="Arial" w:eastAsia="Times New Roman" w:hAnsi="Arial" w:cs="Arial"/>
                <w:color w:val="000000"/>
                <w:lang w:val="en-GB"/>
              </w:rPr>
            </w:pPr>
          </w:p>
        </w:tc>
      </w:tr>
      <w:tr w:rsidR="00EF1F17" w:rsidRPr="00C33193" w14:paraId="23204559" w14:textId="77777777" w:rsidTr="000E5EFC">
        <w:trPr>
          <w:trHeight w:val="340"/>
        </w:trPr>
        <w:tc>
          <w:tcPr>
            <w:tcW w:w="115" w:type="dxa"/>
            <w:tcBorders>
              <w:top w:val="nil"/>
              <w:left w:val="single" w:sz="4" w:space="0" w:color="auto"/>
              <w:bottom w:val="nil"/>
              <w:right w:val="nil"/>
            </w:tcBorders>
            <w:shd w:val="clear" w:color="auto" w:fill="auto"/>
            <w:noWrap/>
            <w:vAlign w:val="bottom"/>
            <w:hideMark/>
          </w:tcPr>
          <w:p w14:paraId="7AFFF5C7" w14:textId="77777777" w:rsidR="00EF1F17" w:rsidRPr="00C33193" w:rsidRDefault="00EF1F17" w:rsidP="000E5EFC">
            <w:pPr>
              <w:rPr>
                <w:rFonts w:ascii="Arial" w:eastAsia="Times New Roman" w:hAnsi="Arial" w:cs="Arial"/>
                <w:color w:val="000000"/>
                <w:lang w:val="en-GB"/>
              </w:rPr>
            </w:pPr>
            <w:r w:rsidRPr="00C33193">
              <w:rPr>
                <w:rFonts w:ascii="Arial" w:eastAsia="Times New Roman" w:hAnsi="Arial" w:cs="Arial"/>
                <w:color w:val="000000"/>
                <w:lang w:val="en-GB"/>
              </w:rPr>
              <w:t> </w:t>
            </w:r>
          </w:p>
        </w:tc>
        <w:tc>
          <w:tcPr>
            <w:tcW w:w="5463" w:type="dxa"/>
            <w:tcBorders>
              <w:top w:val="nil"/>
              <w:left w:val="nil"/>
              <w:bottom w:val="nil"/>
              <w:right w:val="single" w:sz="4" w:space="0" w:color="000000"/>
            </w:tcBorders>
            <w:shd w:val="clear" w:color="auto" w:fill="auto"/>
            <w:noWrap/>
            <w:vAlign w:val="bottom"/>
            <w:hideMark/>
          </w:tcPr>
          <w:p w14:paraId="4884DCC9" w14:textId="77777777" w:rsidR="00EF1F17" w:rsidRPr="00C33193" w:rsidRDefault="00EF1F17" w:rsidP="000E5EFC">
            <w:pPr>
              <w:rPr>
                <w:rFonts w:ascii="Arial" w:eastAsia="Times New Roman" w:hAnsi="Arial" w:cs="Arial"/>
                <w:i/>
                <w:iCs/>
                <w:color w:val="000000"/>
                <w:lang w:val="en-GB"/>
              </w:rPr>
            </w:pPr>
            <w:r w:rsidRPr="00C33193">
              <w:rPr>
                <w:rFonts w:ascii="Arial" w:eastAsia="Times New Roman" w:hAnsi="Arial" w:cs="Arial"/>
                <w:i/>
                <w:iCs/>
                <w:color w:val="000000"/>
                <w:lang w:val="en-GB"/>
              </w:rPr>
              <w:t xml:space="preserve">   somatoform (SDQ-20)</w:t>
            </w:r>
          </w:p>
        </w:tc>
        <w:tc>
          <w:tcPr>
            <w:tcW w:w="2105" w:type="dxa"/>
            <w:tcBorders>
              <w:top w:val="nil"/>
              <w:left w:val="nil"/>
              <w:bottom w:val="nil"/>
              <w:right w:val="nil"/>
            </w:tcBorders>
            <w:shd w:val="clear" w:color="auto" w:fill="auto"/>
            <w:noWrap/>
            <w:vAlign w:val="bottom"/>
            <w:hideMark/>
          </w:tcPr>
          <w:p w14:paraId="2C16F0D9"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52.77 (16.32)</w:t>
            </w:r>
          </w:p>
        </w:tc>
        <w:tc>
          <w:tcPr>
            <w:tcW w:w="2192" w:type="dxa"/>
            <w:tcBorders>
              <w:top w:val="nil"/>
              <w:left w:val="nil"/>
              <w:bottom w:val="nil"/>
              <w:right w:val="nil"/>
            </w:tcBorders>
            <w:shd w:val="clear" w:color="auto" w:fill="auto"/>
            <w:noWrap/>
            <w:vAlign w:val="bottom"/>
            <w:hideMark/>
          </w:tcPr>
          <w:p w14:paraId="072288E8"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22.45 (2.41)</w:t>
            </w:r>
          </w:p>
        </w:tc>
        <w:tc>
          <w:tcPr>
            <w:tcW w:w="1165" w:type="dxa"/>
            <w:tcBorders>
              <w:top w:val="nil"/>
              <w:left w:val="nil"/>
              <w:bottom w:val="nil"/>
              <w:right w:val="single" w:sz="4" w:space="0" w:color="auto"/>
            </w:tcBorders>
            <w:shd w:val="clear" w:color="auto" w:fill="auto"/>
            <w:vAlign w:val="bottom"/>
            <w:hideMark/>
          </w:tcPr>
          <w:p w14:paraId="52EAD81D"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&lt;0.001*</w:t>
            </w:r>
          </w:p>
        </w:tc>
        <w:tc>
          <w:tcPr>
            <w:tcW w:w="1420" w:type="dxa"/>
            <w:tcBorders>
              <w:top w:val="nil"/>
              <w:left w:val="nil"/>
              <w:bottom w:val="nil"/>
              <w:right w:val="nil"/>
            </w:tcBorders>
            <w:shd w:val="clear" w:color="auto" w:fill="auto"/>
            <w:noWrap/>
            <w:vAlign w:val="bottom"/>
            <w:hideMark/>
          </w:tcPr>
          <w:p w14:paraId="1671B458" w14:textId="77777777" w:rsidR="00EF1F17" w:rsidRPr="00C33193" w:rsidRDefault="00EF1F17" w:rsidP="000E5EFC">
            <w:pPr>
              <w:rPr>
                <w:rFonts w:ascii="Arial" w:eastAsia="Times New Roman" w:hAnsi="Arial" w:cs="Arial"/>
                <w:color w:val="000000"/>
                <w:lang w:val="en-GB"/>
              </w:rPr>
            </w:pPr>
          </w:p>
        </w:tc>
      </w:tr>
      <w:tr w:rsidR="00EF1F17" w:rsidRPr="00C33193" w14:paraId="76EB4DE8" w14:textId="77777777" w:rsidTr="000E5EFC">
        <w:trPr>
          <w:trHeight w:val="340"/>
        </w:trPr>
        <w:tc>
          <w:tcPr>
            <w:tcW w:w="115" w:type="dxa"/>
            <w:tcBorders>
              <w:top w:val="nil"/>
              <w:left w:val="single" w:sz="4" w:space="0" w:color="auto"/>
              <w:bottom w:val="nil"/>
              <w:right w:val="nil"/>
            </w:tcBorders>
            <w:shd w:val="clear" w:color="auto" w:fill="auto"/>
            <w:noWrap/>
            <w:vAlign w:val="bottom"/>
            <w:hideMark/>
          </w:tcPr>
          <w:p w14:paraId="281135B5" w14:textId="77777777" w:rsidR="00EF1F17" w:rsidRPr="00C33193" w:rsidRDefault="00EF1F17" w:rsidP="000E5EFC">
            <w:pPr>
              <w:rPr>
                <w:rFonts w:ascii="Arial" w:eastAsia="Times New Roman" w:hAnsi="Arial" w:cs="Arial"/>
                <w:color w:val="000000"/>
                <w:lang w:val="en-GB"/>
              </w:rPr>
            </w:pPr>
            <w:r w:rsidRPr="00C33193">
              <w:rPr>
                <w:rFonts w:ascii="Arial" w:eastAsia="Times New Roman" w:hAnsi="Arial" w:cs="Arial"/>
                <w:color w:val="000000"/>
                <w:lang w:val="en-GB"/>
              </w:rPr>
              <w:t> </w:t>
            </w:r>
          </w:p>
        </w:tc>
        <w:tc>
          <w:tcPr>
            <w:tcW w:w="5463" w:type="dxa"/>
            <w:tcBorders>
              <w:top w:val="nil"/>
              <w:left w:val="nil"/>
              <w:bottom w:val="nil"/>
              <w:right w:val="single" w:sz="4" w:space="0" w:color="000000"/>
            </w:tcBorders>
            <w:shd w:val="clear" w:color="auto" w:fill="auto"/>
            <w:noWrap/>
            <w:vAlign w:val="bottom"/>
            <w:hideMark/>
          </w:tcPr>
          <w:p w14:paraId="37463A72" w14:textId="77777777" w:rsidR="00EF1F17" w:rsidRPr="00C33193" w:rsidRDefault="00EF1F17" w:rsidP="000E5EFC">
            <w:pPr>
              <w:rPr>
                <w:rFonts w:ascii="Arial" w:eastAsia="Times New Roman" w:hAnsi="Arial" w:cs="Arial"/>
                <w:b/>
                <w:bCs/>
                <w:color w:val="000000"/>
                <w:lang w:val="en-GB"/>
              </w:rPr>
            </w:pPr>
            <w:r w:rsidRPr="00C33193">
              <w:rPr>
                <w:rFonts w:ascii="Arial" w:eastAsia="Times New Roman" w:hAnsi="Arial" w:cs="Arial"/>
                <w:b/>
                <w:bCs/>
                <w:color w:val="000000"/>
                <w:lang w:val="en-GB"/>
              </w:rPr>
              <w:t>Depersonalization symptoms (CDS)</w:t>
            </w:r>
          </w:p>
        </w:tc>
        <w:tc>
          <w:tcPr>
            <w:tcW w:w="2105" w:type="dxa"/>
            <w:tcBorders>
              <w:top w:val="nil"/>
              <w:left w:val="nil"/>
              <w:bottom w:val="nil"/>
              <w:right w:val="nil"/>
            </w:tcBorders>
            <w:shd w:val="clear" w:color="auto" w:fill="auto"/>
            <w:noWrap/>
            <w:vAlign w:val="bottom"/>
            <w:hideMark/>
          </w:tcPr>
          <w:p w14:paraId="1C3CEB27"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 </w:t>
            </w:r>
          </w:p>
        </w:tc>
        <w:tc>
          <w:tcPr>
            <w:tcW w:w="2192" w:type="dxa"/>
            <w:tcBorders>
              <w:top w:val="nil"/>
              <w:left w:val="nil"/>
              <w:bottom w:val="nil"/>
              <w:right w:val="nil"/>
            </w:tcBorders>
            <w:shd w:val="clear" w:color="auto" w:fill="auto"/>
            <w:noWrap/>
            <w:vAlign w:val="bottom"/>
            <w:hideMark/>
          </w:tcPr>
          <w:p w14:paraId="6815F26F" w14:textId="77777777" w:rsidR="00EF1F17" w:rsidRPr="00C33193" w:rsidRDefault="00EF1F17" w:rsidP="000E5EFC">
            <w:pPr>
              <w:jc w:val="center"/>
              <w:rPr>
                <w:rFonts w:ascii="Arial" w:eastAsia="Times New Roman" w:hAnsi="Arial" w:cs="Arial"/>
                <w:color w:val="000000"/>
                <w:lang w:val="en-GB"/>
              </w:rPr>
            </w:pPr>
          </w:p>
        </w:tc>
        <w:tc>
          <w:tcPr>
            <w:tcW w:w="1165" w:type="dxa"/>
            <w:tcBorders>
              <w:top w:val="nil"/>
              <w:left w:val="nil"/>
              <w:bottom w:val="nil"/>
              <w:right w:val="single" w:sz="4" w:space="0" w:color="000000"/>
            </w:tcBorders>
            <w:shd w:val="clear" w:color="auto" w:fill="auto"/>
            <w:noWrap/>
            <w:vAlign w:val="bottom"/>
            <w:hideMark/>
          </w:tcPr>
          <w:p w14:paraId="2D02802A"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 </w:t>
            </w:r>
          </w:p>
        </w:tc>
        <w:tc>
          <w:tcPr>
            <w:tcW w:w="1420" w:type="dxa"/>
            <w:tcBorders>
              <w:top w:val="nil"/>
              <w:left w:val="nil"/>
              <w:bottom w:val="nil"/>
              <w:right w:val="nil"/>
            </w:tcBorders>
            <w:shd w:val="clear" w:color="auto" w:fill="auto"/>
            <w:noWrap/>
            <w:vAlign w:val="bottom"/>
            <w:hideMark/>
          </w:tcPr>
          <w:p w14:paraId="53FB9E0D" w14:textId="77777777" w:rsidR="00EF1F17" w:rsidRPr="00C33193" w:rsidRDefault="00EF1F17" w:rsidP="000E5EFC">
            <w:pPr>
              <w:rPr>
                <w:rFonts w:ascii="Arial" w:eastAsia="Times New Roman" w:hAnsi="Arial" w:cs="Arial"/>
                <w:color w:val="000000"/>
                <w:lang w:val="en-GB"/>
              </w:rPr>
            </w:pPr>
          </w:p>
        </w:tc>
      </w:tr>
      <w:tr w:rsidR="00EF1F17" w:rsidRPr="00C33193" w14:paraId="5595930E" w14:textId="77777777" w:rsidTr="000E5EFC">
        <w:trPr>
          <w:trHeight w:val="340"/>
        </w:trPr>
        <w:tc>
          <w:tcPr>
            <w:tcW w:w="115" w:type="dxa"/>
            <w:tcBorders>
              <w:top w:val="nil"/>
              <w:left w:val="single" w:sz="4" w:space="0" w:color="auto"/>
              <w:bottom w:val="nil"/>
              <w:right w:val="nil"/>
            </w:tcBorders>
            <w:shd w:val="clear" w:color="auto" w:fill="auto"/>
            <w:noWrap/>
            <w:vAlign w:val="bottom"/>
            <w:hideMark/>
          </w:tcPr>
          <w:p w14:paraId="3C18C0C8" w14:textId="77777777" w:rsidR="00EF1F17" w:rsidRPr="00C33193" w:rsidRDefault="00EF1F17" w:rsidP="000E5EFC">
            <w:pPr>
              <w:rPr>
                <w:rFonts w:ascii="Arial" w:eastAsia="Times New Roman" w:hAnsi="Arial" w:cs="Arial"/>
                <w:color w:val="000000"/>
                <w:lang w:val="en-GB"/>
              </w:rPr>
            </w:pPr>
            <w:r w:rsidRPr="00C33193">
              <w:rPr>
                <w:rFonts w:ascii="Arial" w:eastAsia="Times New Roman" w:hAnsi="Arial" w:cs="Arial"/>
                <w:color w:val="000000"/>
                <w:lang w:val="en-GB"/>
              </w:rPr>
              <w:t> </w:t>
            </w:r>
          </w:p>
        </w:tc>
        <w:tc>
          <w:tcPr>
            <w:tcW w:w="5463" w:type="dxa"/>
            <w:tcBorders>
              <w:top w:val="nil"/>
              <w:left w:val="nil"/>
              <w:bottom w:val="nil"/>
              <w:right w:val="single" w:sz="4" w:space="0" w:color="000000"/>
            </w:tcBorders>
            <w:shd w:val="clear" w:color="auto" w:fill="auto"/>
            <w:noWrap/>
            <w:vAlign w:val="bottom"/>
            <w:hideMark/>
          </w:tcPr>
          <w:p w14:paraId="1CA88A1B" w14:textId="77777777" w:rsidR="00EF1F17" w:rsidRPr="00C33193" w:rsidRDefault="00EF1F17" w:rsidP="000E5EFC">
            <w:pPr>
              <w:rPr>
                <w:rFonts w:ascii="Arial" w:eastAsia="Times New Roman" w:hAnsi="Arial" w:cs="Arial"/>
                <w:i/>
                <w:iCs/>
                <w:color w:val="000000"/>
                <w:lang w:val="en-GB"/>
              </w:rPr>
            </w:pPr>
            <w:r w:rsidRPr="00C33193">
              <w:rPr>
                <w:rFonts w:ascii="Arial" w:eastAsia="Times New Roman" w:hAnsi="Arial" w:cs="Arial"/>
                <w:i/>
                <w:iCs/>
                <w:color w:val="000000"/>
                <w:lang w:val="en-GB"/>
              </w:rPr>
              <w:t xml:space="preserve">   frequency</w:t>
            </w:r>
          </w:p>
        </w:tc>
        <w:tc>
          <w:tcPr>
            <w:tcW w:w="2105" w:type="dxa"/>
            <w:tcBorders>
              <w:top w:val="nil"/>
              <w:left w:val="nil"/>
              <w:bottom w:val="nil"/>
              <w:right w:val="nil"/>
            </w:tcBorders>
            <w:shd w:val="clear" w:color="auto" w:fill="auto"/>
            <w:noWrap/>
            <w:vAlign w:val="bottom"/>
            <w:hideMark/>
          </w:tcPr>
          <w:p w14:paraId="08C6F24C"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1.72 (0.67)</w:t>
            </w:r>
          </w:p>
        </w:tc>
        <w:tc>
          <w:tcPr>
            <w:tcW w:w="2192" w:type="dxa"/>
            <w:tcBorders>
              <w:top w:val="nil"/>
              <w:left w:val="nil"/>
              <w:bottom w:val="nil"/>
              <w:right w:val="nil"/>
            </w:tcBorders>
            <w:shd w:val="clear" w:color="auto" w:fill="auto"/>
            <w:noWrap/>
            <w:vAlign w:val="bottom"/>
            <w:hideMark/>
          </w:tcPr>
          <w:p w14:paraId="534A01D5"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0.22 (0.16)</w:t>
            </w:r>
          </w:p>
        </w:tc>
        <w:tc>
          <w:tcPr>
            <w:tcW w:w="1165" w:type="dxa"/>
            <w:tcBorders>
              <w:top w:val="nil"/>
              <w:left w:val="nil"/>
              <w:bottom w:val="nil"/>
              <w:right w:val="single" w:sz="4" w:space="0" w:color="auto"/>
            </w:tcBorders>
            <w:shd w:val="clear" w:color="auto" w:fill="auto"/>
            <w:vAlign w:val="bottom"/>
            <w:hideMark/>
          </w:tcPr>
          <w:p w14:paraId="5935395F"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&lt;0.001*</w:t>
            </w:r>
          </w:p>
        </w:tc>
        <w:tc>
          <w:tcPr>
            <w:tcW w:w="1420" w:type="dxa"/>
            <w:tcBorders>
              <w:top w:val="nil"/>
              <w:left w:val="nil"/>
              <w:bottom w:val="nil"/>
              <w:right w:val="nil"/>
            </w:tcBorders>
            <w:shd w:val="clear" w:color="auto" w:fill="auto"/>
            <w:noWrap/>
            <w:vAlign w:val="bottom"/>
            <w:hideMark/>
          </w:tcPr>
          <w:p w14:paraId="69E6C80D" w14:textId="77777777" w:rsidR="00EF1F17" w:rsidRPr="00C33193" w:rsidRDefault="00EF1F17" w:rsidP="000E5EFC">
            <w:pPr>
              <w:rPr>
                <w:rFonts w:ascii="Arial" w:eastAsia="Times New Roman" w:hAnsi="Arial" w:cs="Arial"/>
                <w:color w:val="000000"/>
                <w:lang w:val="en-GB"/>
              </w:rPr>
            </w:pPr>
          </w:p>
        </w:tc>
      </w:tr>
      <w:tr w:rsidR="00EF1F17" w:rsidRPr="00C33193" w14:paraId="2F636920" w14:textId="77777777" w:rsidTr="000E5EFC">
        <w:trPr>
          <w:trHeight w:val="340"/>
        </w:trPr>
        <w:tc>
          <w:tcPr>
            <w:tcW w:w="115" w:type="dxa"/>
            <w:tcBorders>
              <w:top w:val="nil"/>
              <w:left w:val="single" w:sz="4" w:space="0" w:color="auto"/>
              <w:bottom w:val="nil"/>
              <w:right w:val="nil"/>
            </w:tcBorders>
            <w:shd w:val="clear" w:color="auto" w:fill="auto"/>
            <w:noWrap/>
            <w:vAlign w:val="bottom"/>
            <w:hideMark/>
          </w:tcPr>
          <w:p w14:paraId="66377559" w14:textId="77777777" w:rsidR="00EF1F17" w:rsidRPr="00C33193" w:rsidRDefault="00EF1F17" w:rsidP="000E5EFC">
            <w:pPr>
              <w:rPr>
                <w:rFonts w:ascii="Arial" w:eastAsia="Times New Roman" w:hAnsi="Arial" w:cs="Arial"/>
                <w:color w:val="000000"/>
                <w:lang w:val="en-GB"/>
              </w:rPr>
            </w:pPr>
            <w:r w:rsidRPr="00C33193">
              <w:rPr>
                <w:rFonts w:ascii="Arial" w:eastAsia="Times New Roman" w:hAnsi="Arial" w:cs="Arial"/>
                <w:color w:val="000000"/>
                <w:lang w:val="en-GB"/>
              </w:rPr>
              <w:t> </w:t>
            </w:r>
          </w:p>
        </w:tc>
        <w:tc>
          <w:tcPr>
            <w:tcW w:w="5463" w:type="dxa"/>
            <w:tcBorders>
              <w:top w:val="nil"/>
              <w:left w:val="nil"/>
              <w:bottom w:val="nil"/>
              <w:right w:val="single" w:sz="4" w:space="0" w:color="000000"/>
            </w:tcBorders>
            <w:shd w:val="clear" w:color="auto" w:fill="auto"/>
            <w:noWrap/>
            <w:vAlign w:val="bottom"/>
            <w:hideMark/>
          </w:tcPr>
          <w:p w14:paraId="789DBB6F" w14:textId="77777777" w:rsidR="00EF1F17" w:rsidRPr="00C33193" w:rsidRDefault="00EF1F17" w:rsidP="000E5EFC">
            <w:pPr>
              <w:rPr>
                <w:rFonts w:ascii="Arial" w:eastAsia="Times New Roman" w:hAnsi="Arial" w:cs="Arial"/>
                <w:i/>
                <w:iCs/>
                <w:color w:val="000000"/>
                <w:lang w:val="en-GB"/>
              </w:rPr>
            </w:pPr>
            <w:r w:rsidRPr="00C33193">
              <w:rPr>
                <w:rFonts w:ascii="Arial" w:eastAsia="Times New Roman" w:hAnsi="Arial" w:cs="Arial"/>
                <w:i/>
                <w:iCs/>
                <w:color w:val="000000"/>
                <w:lang w:val="en-GB"/>
              </w:rPr>
              <w:t xml:space="preserve">   duration </w:t>
            </w:r>
          </w:p>
        </w:tc>
        <w:tc>
          <w:tcPr>
            <w:tcW w:w="2105" w:type="dxa"/>
            <w:tcBorders>
              <w:top w:val="nil"/>
              <w:left w:val="nil"/>
              <w:bottom w:val="nil"/>
              <w:right w:val="nil"/>
            </w:tcBorders>
            <w:shd w:val="clear" w:color="auto" w:fill="auto"/>
            <w:noWrap/>
            <w:vAlign w:val="bottom"/>
            <w:hideMark/>
          </w:tcPr>
          <w:p w14:paraId="562C84F0"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2.28 (1.11)</w:t>
            </w:r>
          </w:p>
        </w:tc>
        <w:tc>
          <w:tcPr>
            <w:tcW w:w="2192" w:type="dxa"/>
            <w:tcBorders>
              <w:top w:val="nil"/>
              <w:left w:val="nil"/>
              <w:bottom w:val="nil"/>
              <w:right w:val="nil"/>
            </w:tcBorders>
            <w:shd w:val="clear" w:color="auto" w:fill="auto"/>
            <w:noWrap/>
            <w:vAlign w:val="bottom"/>
            <w:hideMark/>
          </w:tcPr>
          <w:p w14:paraId="04F4CF85"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0.34 (0.35)</w:t>
            </w:r>
          </w:p>
        </w:tc>
        <w:tc>
          <w:tcPr>
            <w:tcW w:w="1165" w:type="dxa"/>
            <w:tcBorders>
              <w:top w:val="nil"/>
              <w:left w:val="nil"/>
              <w:bottom w:val="nil"/>
              <w:right w:val="single" w:sz="4" w:space="0" w:color="auto"/>
            </w:tcBorders>
            <w:shd w:val="clear" w:color="auto" w:fill="auto"/>
            <w:vAlign w:val="bottom"/>
            <w:hideMark/>
          </w:tcPr>
          <w:p w14:paraId="3EC9DD1C"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&lt;0.001*</w:t>
            </w:r>
          </w:p>
        </w:tc>
        <w:tc>
          <w:tcPr>
            <w:tcW w:w="1420" w:type="dxa"/>
            <w:tcBorders>
              <w:top w:val="nil"/>
              <w:left w:val="nil"/>
              <w:bottom w:val="nil"/>
              <w:right w:val="nil"/>
            </w:tcBorders>
            <w:shd w:val="clear" w:color="auto" w:fill="auto"/>
            <w:noWrap/>
            <w:vAlign w:val="bottom"/>
            <w:hideMark/>
          </w:tcPr>
          <w:p w14:paraId="61345310" w14:textId="77777777" w:rsidR="00EF1F17" w:rsidRPr="00C33193" w:rsidRDefault="00EF1F17" w:rsidP="000E5EFC">
            <w:pPr>
              <w:rPr>
                <w:rFonts w:ascii="Arial" w:eastAsia="Times New Roman" w:hAnsi="Arial" w:cs="Arial"/>
                <w:color w:val="000000"/>
                <w:lang w:val="en-GB"/>
              </w:rPr>
            </w:pPr>
          </w:p>
        </w:tc>
      </w:tr>
      <w:tr w:rsidR="00EF1F17" w:rsidRPr="00C33193" w14:paraId="2C96BCC6" w14:textId="77777777" w:rsidTr="000E5EFC">
        <w:trPr>
          <w:trHeight w:val="340"/>
        </w:trPr>
        <w:tc>
          <w:tcPr>
            <w:tcW w:w="115" w:type="dxa"/>
            <w:tcBorders>
              <w:top w:val="nil"/>
              <w:left w:val="single" w:sz="4" w:space="0" w:color="auto"/>
              <w:bottom w:val="nil"/>
              <w:right w:val="nil"/>
            </w:tcBorders>
            <w:shd w:val="clear" w:color="auto" w:fill="auto"/>
            <w:noWrap/>
            <w:vAlign w:val="bottom"/>
            <w:hideMark/>
          </w:tcPr>
          <w:p w14:paraId="13C4C213" w14:textId="77777777" w:rsidR="00EF1F17" w:rsidRPr="00C33193" w:rsidRDefault="00EF1F17" w:rsidP="000E5EFC">
            <w:pPr>
              <w:rPr>
                <w:rFonts w:ascii="Arial" w:eastAsia="Times New Roman" w:hAnsi="Arial" w:cs="Arial"/>
                <w:color w:val="000000"/>
                <w:lang w:val="en-GB"/>
              </w:rPr>
            </w:pPr>
            <w:r w:rsidRPr="00C33193">
              <w:rPr>
                <w:rFonts w:ascii="Arial" w:eastAsia="Times New Roman" w:hAnsi="Arial" w:cs="Arial"/>
                <w:color w:val="000000"/>
                <w:lang w:val="en-GB"/>
              </w:rPr>
              <w:t> </w:t>
            </w:r>
          </w:p>
        </w:tc>
        <w:tc>
          <w:tcPr>
            <w:tcW w:w="5463" w:type="dxa"/>
            <w:tcBorders>
              <w:top w:val="nil"/>
              <w:left w:val="nil"/>
              <w:bottom w:val="nil"/>
              <w:right w:val="single" w:sz="4" w:space="0" w:color="000000"/>
            </w:tcBorders>
            <w:shd w:val="clear" w:color="auto" w:fill="auto"/>
            <w:noWrap/>
            <w:vAlign w:val="bottom"/>
            <w:hideMark/>
          </w:tcPr>
          <w:p w14:paraId="7E561762" w14:textId="77777777" w:rsidR="00EF1F17" w:rsidRPr="00C33193" w:rsidRDefault="00EF1F17" w:rsidP="000E5EFC">
            <w:pPr>
              <w:rPr>
                <w:rFonts w:ascii="Arial" w:eastAsia="Times New Roman" w:hAnsi="Arial" w:cs="Arial"/>
                <w:i/>
                <w:iCs/>
                <w:color w:val="000000"/>
                <w:lang w:val="en-GB"/>
              </w:rPr>
            </w:pPr>
            <w:r w:rsidRPr="00C33193">
              <w:rPr>
                <w:rFonts w:ascii="Arial" w:eastAsia="Times New Roman" w:hAnsi="Arial" w:cs="Arial"/>
                <w:i/>
                <w:iCs/>
                <w:color w:val="000000"/>
                <w:lang w:val="en-GB"/>
              </w:rPr>
              <w:t xml:space="preserve">   total</w:t>
            </w:r>
          </w:p>
        </w:tc>
        <w:tc>
          <w:tcPr>
            <w:tcW w:w="2105" w:type="dxa"/>
            <w:tcBorders>
              <w:top w:val="nil"/>
              <w:left w:val="nil"/>
              <w:bottom w:val="nil"/>
              <w:right w:val="nil"/>
            </w:tcBorders>
            <w:shd w:val="clear" w:color="auto" w:fill="auto"/>
            <w:noWrap/>
            <w:vAlign w:val="bottom"/>
            <w:hideMark/>
          </w:tcPr>
          <w:p w14:paraId="47CC0B8E"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117.47 (48.60)</w:t>
            </w:r>
          </w:p>
        </w:tc>
        <w:tc>
          <w:tcPr>
            <w:tcW w:w="2192" w:type="dxa"/>
            <w:tcBorders>
              <w:top w:val="nil"/>
              <w:left w:val="nil"/>
              <w:bottom w:val="nil"/>
              <w:right w:val="nil"/>
            </w:tcBorders>
            <w:shd w:val="clear" w:color="auto" w:fill="auto"/>
            <w:noWrap/>
            <w:vAlign w:val="bottom"/>
            <w:hideMark/>
          </w:tcPr>
          <w:p w14:paraId="79E41149"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16.60 (13.87)</w:t>
            </w:r>
          </w:p>
        </w:tc>
        <w:tc>
          <w:tcPr>
            <w:tcW w:w="1165" w:type="dxa"/>
            <w:tcBorders>
              <w:top w:val="nil"/>
              <w:left w:val="nil"/>
              <w:bottom w:val="nil"/>
              <w:right w:val="single" w:sz="4" w:space="0" w:color="auto"/>
            </w:tcBorders>
            <w:shd w:val="clear" w:color="auto" w:fill="auto"/>
            <w:vAlign w:val="bottom"/>
            <w:hideMark/>
          </w:tcPr>
          <w:p w14:paraId="3D782165"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&lt;0.001*</w:t>
            </w:r>
          </w:p>
        </w:tc>
        <w:tc>
          <w:tcPr>
            <w:tcW w:w="1420" w:type="dxa"/>
            <w:tcBorders>
              <w:top w:val="nil"/>
              <w:left w:val="nil"/>
              <w:bottom w:val="nil"/>
              <w:right w:val="nil"/>
            </w:tcBorders>
            <w:shd w:val="clear" w:color="auto" w:fill="auto"/>
            <w:noWrap/>
            <w:vAlign w:val="bottom"/>
            <w:hideMark/>
          </w:tcPr>
          <w:p w14:paraId="44A5ED8B" w14:textId="77777777" w:rsidR="00EF1F17" w:rsidRPr="00C33193" w:rsidRDefault="00EF1F17" w:rsidP="000E5EFC">
            <w:pPr>
              <w:rPr>
                <w:rFonts w:ascii="Arial" w:eastAsia="Times New Roman" w:hAnsi="Arial" w:cs="Arial"/>
                <w:color w:val="000000"/>
                <w:lang w:val="en-GB"/>
              </w:rPr>
            </w:pPr>
          </w:p>
        </w:tc>
      </w:tr>
      <w:tr w:rsidR="00EF1F17" w:rsidRPr="00C33193" w14:paraId="55C289DD" w14:textId="77777777" w:rsidTr="000E5EFC">
        <w:trPr>
          <w:trHeight w:val="340"/>
        </w:trPr>
        <w:tc>
          <w:tcPr>
            <w:tcW w:w="5578" w:type="dxa"/>
            <w:gridSpan w:val="2"/>
            <w:tcBorders>
              <w:top w:val="nil"/>
              <w:left w:val="single" w:sz="4" w:space="0" w:color="auto"/>
              <w:bottom w:val="nil"/>
              <w:right w:val="single" w:sz="4" w:space="0" w:color="000000"/>
            </w:tcBorders>
            <w:shd w:val="clear" w:color="auto" w:fill="auto"/>
            <w:noWrap/>
            <w:vAlign w:val="bottom"/>
            <w:hideMark/>
          </w:tcPr>
          <w:p w14:paraId="2DD4B227" w14:textId="77777777" w:rsidR="00EF1F17" w:rsidRPr="00C33193" w:rsidRDefault="00EF1F17" w:rsidP="000E5EFC">
            <w:pPr>
              <w:rPr>
                <w:rFonts w:ascii="Arial" w:eastAsia="Times New Roman" w:hAnsi="Arial" w:cs="Arial"/>
                <w:b/>
                <w:bCs/>
                <w:color w:val="000000"/>
                <w:lang w:val="en-GB"/>
              </w:rPr>
            </w:pPr>
            <w:r w:rsidRPr="00C33193">
              <w:rPr>
                <w:rFonts w:ascii="Arial" w:eastAsia="Times New Roman" w:hAnsi="Arial" w:cs="Arial"/>
                <w:b/>
                <w:bCs/>
                <w:color w:val="000000"/>
                <w:lang w:val="en-GB"/>
              </w:rPr>
              <w:t>Traumatic Experiences Checklist (TEC)</w:t>
            </w:r>
          </w:p>
        </w:tc>
        <w:tc>
          <w:tcPr>
            <w:tcW w:w="2105" w:type="dxa"/>
            <w:tcBorders>
              <w:top w:val="nil"/>
              <w:left w:val="nil"/>
              <w:bottom w:val="nil"/>
              <w:right w:val="nil"/>
            </w:tcBorders>
            <w:shd w:val="clear" w:color="auto" w:fill="auto"/>
            <w:noWrap/>
            <w:vAlign w:val="bottom"/>
            <w:hideMark/>
          </w:tcPr>
          <w:p w14:paraId="53C33AD0" w14:textId="77777777" w:rsidR="00EF1F17" w:rsidRPr="00C33193" w:rsidRDefault="00EF1F17" w:rsidP="000E5EFC">
            <w:pPr>
              <w:jc w:val="center"/>
              <w:rPr>
                <w:rFonts w:ascii="Arial" w:eastAsia="Times New Roman" w:hAnsi="Arial" w:cs="Arial"/>
                <w:color w:val="000000"/>
                <w:lang w:val="en-GB"/>
              </w:rPr>
            </w:pPr>
          </w:p>
        </w:tc>
        <w:tc>
          <w:tcPr>
            <w:tcW w:w="2192" w:type="dxa"/>
            <w:tcBorders>
              <w:top w:val="nil"/>
              <w:left w:val="nil"/>
              <w:bottom w:val="nil"/>
              <w:right w:val="nil"/>
            </w:tcBorders>
            <w:shd w:val="clear" w:color="auto" w:fill="auto"/>
            <w:noWrap/>
            <w:vAlign w:val="bottom"/>
            <w:hideMark/>
          </w:tcPr>
          <w:p w14:paraId="03B423B2" w14:textId="77777777" w:rsidR="00EF1F17" w:rsidRPr="00C33193" w:rsidRDefault="00EF1F17" w:rsidP="000E5EFC">
            <w:pPr>
              <w:jc w:val="center"/>
              <w:rPr>
                <w:rFonts w:ascii="Arial" w:eastAsia="Times New Roman" w:hAnsi="Arial" w:cs="Arial"/>
                <w:color w:val="000000"/>
                <w:lang w:val="en-GB"/>
              </w:rPr>
            </w:pPr>
          </w:p>
        </w:tc>
        <w:tc>
          <w:tcPr>
            <w:tcW w:w="1165" w:type="dxa"/>
            <w:tcBorders>
              <w:top w:val="nil"/>
              <w:left w:val="nil"/>
              <w:bottom w:val="nil"/>
              <w:right w:val="single" w:sz="4" w:space="0" w:color="000000"/>
            </w:tcBorders>
            <w:shd w:val="clear" w:color="auto" w:fill="auto"/>
            <w:noWrap/>
            <w:vAlign w:val="bottom"/>
            <w:hideMark/>
          </w:tcPr>
          <w:p w14:paraId="30CA06E2"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 </w:t>
            </w:r>
          </w:p>
        </w:tc>
        <w:tc>
          <w:tcPr>
            <w:tcW w:w="1420" w:type="dxa"/>
            <w:tcBorders>
              <w:top w:val="nil"/>
              <w:left w:val="nil"/>
              <w:bottom w:val="nil"/>
              <w:right w:val="nil"/>
            </w:tcBorders>
            <w:shd w:val="clear" w:color="auto" w:fill="auto"/>
            <w:noWrap/>
            <w:vAlign w:val="bottom"/>
            <w:hideMark/>
          </w:tcPr>
          <w:p w14:paraId="5176CDD0" w14:textId="77777777" w:rsidR="00EF1F17" w:rsidRPr="00C33193" w:rsidRDefault="00EF1F17" w:rsidP="000E5EFC">
            <w:pPr>
              <w:rPr>
                <w:rFonts w:ascii="Arial" w:eastAsia="Times New Roman" w:hAnsi="Arial" w:cs="Arial"/>
                <w:color w:val="000000"/>
                <w:lang w:val="en-GB"/>
              </w:rPr>
            </w:pPr>
          </w:p>
        </w:tc>
      </w:tr>
      <w:tr w:rsidR="00EF1F17" w:rsidRPr="00C33193" w14:paraId="6857682E" w14:textId="77777777" w:rsidTr="000E5EFC">
        <w:trPr>
          <w:trHeight w:val="340"/>
        </w:trPr>
        <w:tc>
          <w:tcPr>
            <w:tcW w:w="115" w:type="dxa"/>
            <w:tcBorders>
              <w:top w:val="nil"/>
              <w:left w:val="single" w:sz="4" w:space="0" w:color="auto"/>
              <w:bottom w:val="nil"/>
              <w:right w:val="nil"/>
            </w:tcBorders>
            <w:shd w:val="clear" w:color="auto" w:fill="auto"/>
            <w:noWrap/>
            <w:vAlign w:val="bottom"/>
            <w:hideMark/>
          </w:tcPr>
          <w:p w14:paraId="232FD34E" w14:textId="77777777" w:rsidR="00EF1F17" w:rsidRPr="00C33193" w:rsidRDefault="00EF1F17" w:rsidP="000E5EFC">
            <w:pPr>
              <w:rPr>
                <w:rFonts w:ascii="Arial" w:eastAsia="Times New Roman" w:hAnsi="Arial" w:cs="Arial"/>
                <w:color w:val="000000"/>
                <w:lang w:val="en-GB"/>
              </w:rPr>
            </w:pPr>
            <w:r w:rsidRPr="00C33193">
              <w:rPr>
                <w:rFonts w:ascii="Arial" w:eastAsia="Times New Roman" w:hAnsi="Arial" w:cs="Arial"/>
                <w:color w:val="000000"/>
                <w:lang w:val="en-GB"/>
              </w:rPr>
              <w:t> </w:t>
            </w:r>
          </w:p>
        </w:tc>
        <w:tc>
          <w:tcPr>
            <w:tcW w:w="5463" w:type="dxa"/>
            <w:tcBorders>
              <w:top w:val="nil"/>
              <w:left w:val="nil"/>
              <w:bottom w:val="nil"/>
              <w:right w:val="single" w:sz="4" w:space="0" w:color="auto"/>
            </w:tcBorders>
            <w:shd w:val="clear" w:color="auto" w:fill="auto"/>
            <w:noWrap/>
            <w:vAlign w:val="bottom"/>
            <w:hideMark/>
          </w:tcPr>
          <w:p w14:paraId="7CCA2003" w14:textId="77777777" w:rsidR="00EF1F17" w:rsidRPr="00C33193" w:rsidRDefault="00EF1F17" w:rsidP="000E5EFC">
            <w:pPr>
              <w:rPr>
                <w:rFonts w:ascii="Arial" w:eastAsia="Times New Roman" w:hAnsi="Arial" w:cs="Arial"/>
                <w:b/>
                <w:bCs/>
                <w:color w:val="000000"/>
                <w:lang w:val="en-GB"/>
              </w:rPr>
            </w:pPr>
            <w:r w:rsidRPr="00C33193">
              <w:rPr>
                <w:rFonts w:ascii="Arial" w:eastAsia="Times New Roman" w:hAnsi="Arial" w:cs="Arial"/>
                <w:b/>
                <w:bCs/>
                <w:color w:val="000000"/>
                <w:lang w:val="en-GB"/>
              </w:rPr>
              <w:t>TEC: All</w:t>
            </w:r>
          </w:p>
        </w:tc>
        <w:tc>
          <w:tcPr>
            <w:tcW w:w="2105" w:type="dxa"/>
            <w:tcBorders>
              <w:top w:val="nil"/>
              <w:left w:val="nil"/>
              <w:bottom w:val="nil"/>
              <w:right w:val="nil"/>
            </w:tcBorders>
            <w:shd w:val="clear" w:color="auto" w:fill="auto"/>
            <w:noWrap/>
            <w:vAlign w:val="bottom"/>
            <w:hideMark/>
          </w:tcPr>
          <w:p w14:paraId="713B1AA2" w14:textId="77777777" w:rsidR="00EF1F17" w:rsidRPr="00C33193" w:rsidRDefault="00EF1F17" w:rsidP="000E5EFC">
            <w:pPr>
              <w:jc w:val="center"/>
              <w:rPr>
                <w:rFonts w:ascii="Arial" w:eastAsia="Times New Roman" w:hAnsi="Arial" w:cs="Arial"/>
                <w:color w:val="000000"/>
                <w:lang w:val="en-GB"/>
              </w:rPr>
            </w:pPr>
          </w:p>
        </w:tc>
        <w:tc>
          <w:tcPr>
            <w:tcW w:w="2192" w:type="dxa"/>
            <w:tcBorders>
              <w:top w:val="nil"/>
              <w:left w:val="nil"/>
              <w:bottom w:val="nil"/>
              <w:right w:val="nil"/>
            </w:tcBorders>
            <w:shd w:val="clear" w:color="auto" w:fill="auto"/>
            <w:noWrap/>
            <w:vAlign w:val="bottom"/>
            <w:hideMark/>
          </w:tcPr>
          <w:p w14:paraId="0379A953" w14:textId="77777777" w:rsidR="00EF1F17" w:rsidRPr="00C33193" w:rsidRDefault="00EF1F17" w:rsidP="000E5EFC">
            <w:pPr>
              <w:jc w:val="center"/>
              <w:rPr>
                <w:rFonts w:ascii="Arial" w:eastAsia="Times New Roman" w:hAnsi="Arial" w:cs="Arial"/>
                <w:color w:val="000000"/>
                <w:lang w:val="en-GB"/>
              </w:rPr>
            </w:pPr>
          </w:p>
        </w:tc>
        <w:tc>
          <w:tcPr>
            <w:tcW w:w="1165" w:type="dxa"/>
            <w:tcBorders>
              <w:top w:val="nil"/>
              <w:left w:val="nil"/>
              <w:bottom w:val="nil"/>
              <w:right w:val="single" w:sz="4" w:space="0" w:color="000000"/>
            </w:tcBorders>
            <w:shd w:val="clear" w:color="auto" w:fill="auto"/>
            <w:noWrap/>
            <w:vAlign w:val="bottom"/>
            <w:hideMark/>
          </w:tcPr>
          <w:p w14:paraId="6D617AFD"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 </w:t>
            </w:r>
          </w:p>
        </w:tc>
        <w:tc>
          <w:tcPr>
            <w:tcW w:w="1420" w:type="dxa"/>
            <w:tcBorders>
              <w:top w:val="nil"/>
              <w:left w:val="nil"/>
              <w:bottom w:val="nil"/>
              <w:right w:val="nil"/>
            </w:tcBorders>
            <w:shd w:val="clear" w:color="auto" w:fill="auto"/>
            <w:noWrap/>
            <w:vAlign w:val="bottom"/>
            <w:hideMark/>
          </w:tcPr>
          <w:p w14:paraId="4FB831B2" w14:textId="77777777" w:rsidR="00EF1F17" w:rsidRPr="00C33193" w:rsidRDefault="00EF1F17" w:rsidP="000E5EFC">
            <w:pPr>
              <w:rPr>
                <w:rFonts w:ascii="Arial" w:eastAsia="Times New Roman" w:hAnsi="Arial" w:cs="Arial"/>
                <w:color w:val="000000"/>
                <w:lang w:val="en-GB"/>
              </w:rPr>
            </w:pPr>
          </w:p>
        </w:tc>
      </w:tr>
      <w:tr w:rsidR="00EF1F17" w:rsidRPr="00C33193" w14:paraId="3C326C56" w14:textId="77777777" w:rsidTr="000E5EFC">
        <w:trPr>
          <w:trHeight w:val="340"/>
        </w:trPr>
        <w:tc>
          <w:tcPr>
            <w:tcW w:w="115" w:type="dxa"/>
            <w:tcBorders>
              <w:top w:val="nil"/>
              <w:left w:val="single" w:sz="4" w:space="0" w:color="auto"/>
              <w:bottom w:val="nil"/>
              <w:right w:val="nil"/>
            </w:tcBorders>
            <w:shd w:val="clear" w:color="auto" w:fill="auto"/>
            <w:noWrap/>
            <w:vAlign w:val="bottom"/>
            <w:hideMark/>
          </w:tcPr>
          <w:p w14:paraId="7C44A9D6" w14:textId="77777777" w:rsidR="00EF1F17" w:rsidRPr="00C33193" w:rsidRDefault="00EF1F17" w:rsidP="000E5EFC">
            <w:pPr>
              <w:rPr>
                <w:rFonts w:ascii="Arial" w:eastAsia="Times New Roman" w:hAnsi="Arial" w:cs="Arial"/>
                <w:color w:val="000000"/>
                <w:lang w:val="en-GB"/>
              </w:rPr>
            </w:pPr>
            <w:r w:rsidRPr="00C33193">
              <w:rPr>
                <w:rFonts w:ascii="Arial" w:eastAsia="Times New Roman" w:hAnsi="Arial" w:cs="Arial"/>
                <w:color w:val="000000"/>
                <w:lang w:val="en-GB"/>
              </w:rPr>
              <w:t> </w:t>
            </w:r>
          </w:p>
        </w:tc>
        <w:tc>
          <w:tcPr>
            <w:tcW w:w="5463" w:type="dxa"/>
            <w:tcBorders>
              <w:top w:val="nil"/>
              <w:left w:val="nil"/>
              <w:bottom w:val="nil"/>
              <w:right w:val="single" w:sz="4" w:space="0" w:color="auto"/>
            </w:tcBorders>
            <w:shd w:val="clear" w:color="auto" w:fill="auto"/>
            <w:noWrap/>
            <w:vAlign w:val="bottom"/>
            <w:hideMark/>
          </w:tcPr>
          <w:p w14:paraId="713483FB" w14:textId="77777777" w:rsidR="00EF1F17" w:rsidRPr="00C33193" w:rsidRDefault="00EF1F17" w:rsidP="000E5EFC">
            <w:pPr>
              <w:rPr>
                <w:rFonts w:ascii="Arial" w:eastAsia="Times New Roman" w:hAnsi="Arial" w:cs="Arial"/>
                <w:i/>
                <w:iCs/>
                <w:color w:val="000000"/>
                <w:lang w:val="en-GB"/>
              </w:rPr>
            </w:pPr>
            <w:r w:rsidRPr="00C33193">
              <w:rPr>
                <w:rFonts w:ascii="Arial" w:eastAsia="Times New Roman" w:hAnsi="Arial" w:cs="Arial"/>
                <w:i/>
                <w:iCs/>
                <w:color w:val="000000"/>
                <w:lang w:val="en-GB"/>
              </w:rPr>
              <w:t xml:space="preserve">   emotional neglect</w:t>
            </w:r>
          </w:p>
        </w:tc>
        <w:tc>
          <w:tcPr>
            <w:tcW w:w="2105" w:type="dxa"/>
            <w:tcBorders>
              <w:top w:val="nil"/>
              <w:left w:val="nil"/>
              <w:bottom w:val="nil"/>
              <w:right w:val="nil"/>
            </w:tcBorders>
            <w:shd w:val="clear" w:color="auto" w:fill="auto"/>
            <w:noWrap/>
            <w:vAlign w:val="bottom"/>
            <w:hideMark/>
          </w:tcPr>
          <w:p w14:paraId="06B81D29"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12.28 (2.58)</w:t>
            </w:r>
          </w:p>
        </w:tc>
        <w:tc>
          <w:tcPr>
            <w:tcW w:w="2192" w:type="dxa"/>
            <w:tcBorders>
              <w:top w:val="nil"/>
              <w:left w:val="nil"/>
              <w:bottom w:val="nil"/>
              <w:right w:val="nil"/>
            </w:tcBorders>
            <w:shd w:val="clear" w:color="auto" w:fill="auto"/>
            <w:noWrap/>
            <w:vAlign w:val="bottom"/>
            <w:hideMark/>
          </w:tcPr>
          <w:p w14:paraId="604373CD"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2.60 (4.39)</w:t>
            </w:r>
          </w:p>
        </w:tc>
        <w:tc>
          <w:tcPr>
            <w:tcW w:w="1165" w:type="dxa"/>
            <w:tcBorders>
              <w:top w:val="nil"/>
              <w:left w:val="nil"/>
              <w:bottom w:val="nil"/>
              <w:right w:val="single" w:sz="4" w:space="0" w:color="auto"/>
            </w:tcBorders>
            <w:shd w:val="clear" w:color="auto" w:fill="auto"/>
            <w:vAlign w:val="bottom"/>
            <w:hideMark/>
          </w:tcPr>
          <w:p w14:paraId="16BE6B5F"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&lt;0.001*</w:t>
            </w:r>
          </w:p>
        </w:tc>
        <w:tc>
          <w:tcPr>
            <w:tcW w:w="1420" w:type="dxa"/>
            <w:tcBorders>
              <w:top w:val="nil"/>
              <w:left w:val="nil"/>
              <w:bottom w:val="nil"/>
              <w:right w:val="nil"/>
            </w:tcBorders>
            <w:shd w:val="clear" w:color="auto" w:fill="auto"/>
            <w:noWrap/>
            <w:vAlign w:val="bottom"/>
            <w:hideMark/>
          </w:tcPr>
          <w:p w14:paraId="2229E492" w14:textId="77777777" w:rsidR="00EF1F17" w:rsidRPr="00C33193" w:rsidRDefault="00EF1F17" w:rsidP="000E5EFC">
            <w:pPr>
              <w:rPr>
                <w:rFonts w:ascii="Arial" w:eastAsia="Times New Roman" w:hAnsi="Arial" w:cs="Arial"/>
                <w:color w:val="000000"/>
                <w:lang w:val="en-GB"/>
              </w:rPr>
            </w:pPr>
          </w:p>
        </w:tc>
      </w:tr>
      <w:tr w:rsidR="00EF1F17" w:rsidRPr="00C33193" w14:paraId="3272EF50" w14:textId="77777777" w:rsidTr="000E5EFC">
        <w:trPr>
          <w:trHeight w:val="340"/>
        </w:trPr>
        <w:tc>
          <w:tcPr>
            <w:tcW w:w="115" w:type="dxa"/>
            <w:tcBorders>
              <w:top w:val="nil"/>
              <w:left w:val="single" w:sz="4" w:space="0" w:color="auto"/>
              <w:bottom w:val="nil"/>
              <w:right w:val="nil"/>
            </w:tcBorders>
            <w:shd w:val="clear" w:color="auto" w:fill="auto"/>
            <w:noWrap/>
            <w:vAlign w:val="bottom"/>
            <w:hideMark/>
          </w:tcPr>
          <w:p w14:paraId="7572FB07" w14:textId="77777777" w:rsidR="00EF1F17" w:rsidRPr="00C33193" w:rsidRDefault="00EF1F17" w:rsidP="000E5EFC">
            <w:pPr>
              <w:rPr>
                <w:rFonts w:ascii="Arial" w:eastAsia="Times New Roman" w:hAnsi="Arial" w:cs="Arial"/>
                <w:color w:val="000000"/>
                <w:lang w:val="en-GB"/>
              </w:rPr>
            </w:pPr>
            <w:r w:rsidRPr="00C33193">
              <w:rPr>
                <w:rFonts w:ascii="Arial" w:eastAsia="Times New Roman" w:hAnsi="Arial" w:cs="Arial"/>
                <w:color w:val="000000"/>
                <w:lang w:val="en-GB"/>
              </w:rPr>
              <w:t> </w:t>
            </w:r>
          </w:p>
        </w:tc>
        <w:tc>
          <w:tcPr>
            <w:tcW w:w="5463" w:type="dxa"/>
            <w:tcBorders>
              <w:top w:val="nil"/>
              <w:left w:val="nil"/>
              <w:bottom w:val="nil"/>
              <w:right w:val="single" w:sz="4" w:space="0" w:color="auto"/>
            </w:tcBorders>
            <w:shd w:val="clear" w:color="auto" w:fill="auto"/>
            <w:noWrap/>
            <w:vAlign w:val="bottom"/>
            <w:hideMark/>
          </w:tcPr>
          <w:p w14:paraId="571528F0" w14:textId="77777777" w:rsidR="00EF1F17" w:rsidRPr="00C33193" w:rsidRDefault="00EF1F17" w:rsidP="000E5EFC">
            <w:pPr>
              <w:rPr>
                <w:rFonts w:ascii="Arial" w:eastAsia="Times New Roman" w:hAnsi="Arial" w:cs="Arial"/>
                <w:i/>
                <w:iCs/>
                <w:color w:val="000000"/>
                <w:lang w:val="en-GB"/>
              </w:rPr>
            </w:pPr>
            <w:r w:rsidRPr="00C33193">
              <w:rPr>
                <w:rFonts w:ascii="Arial" w:eastAsia="Times New Roman" w:hAnsi="Arial" w:cs="Arial"/>
                <w:i/>
                <w:iCs/>
                <w:color w:val="000000"/>
                <w:lang w:val="en-GB"/>
              </w:rPr>
              <w:t xml:space="preserve">   emotional abuse</w:t>
            </w:r>
          </w:p>
        </w:tc>
        <w:tc>
          <w:tcPr>
            <w:tcW w:w="2105" w:type="dxa"/>
            <w:tcBorders>
              <w:top w:val="nil"/>
              <w:left w:val="nil"/>
              <w:bottom w:val="nil"/>
              <w:right w:val="nil"/>
            </w:tcBorders>
            <w:shd w:val="clear" w:color="auto" w:fill="auto"/>
            <w:noWrap/>
            <w:vAlign w:val="bottom"/>
            <w:hideMark/>
          </w:tcPr>
          <w:p w14:paraId="61D06085"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11.86 (3.26)</w:t>
            </w:r>
          </w:p>
        </w:tc>
        <w:tc>
          <w:tcPr>
            <w:tcW w:w="2192" w:type="dxa"/>
            <w:tcBorders>
              <w:top w:val="nil"/>
              <w:left w:val="nil"/>
              <w:bottom w:val="nil"/>
              <w:right w:val="nil"/>
            </w:tcBorders>
            <w:shd w:val="clear" w:color="auto" w:fill="auto"/>
            <w:noWrap/>
            <w:vAlign w:val="bottom"/>
            <w:hideMark/>
          </w:tcPr>
          <w:p w14:paraId="1213A649"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1.53 (3.23)</w:t>
            </w:r>
          </w:p>
        </w:tc>
        <w:tc>
          <w:tcPr>
            <w:tcW w:w="1165" w:type="dxa"/>
            <w:tcBorders>
              <w:top w:val="nil"/>
              <w:left w:val="nil"/>
              <w:bottom w:val="nil"/>
              <w:right w:val="single" w:sz="4" w:space="0" w:color="auto"/>
            </w:tcBorders>
            <w:shd w:val="clear" w:color="auto" w:fill="auto"/>
            <w:vAlign w:val="bottom"/>
            <w:hideMark/>
          </w:tcPr>
          <w:p w14:paraId="16DEFB70"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&lt;0.001*</w:t>
            </w:r>
          </w:p>
        </w:tc>
        <w:tc>
          <w:tcPr>
            <w:tcW w:w="1420" w:type="dxa"/>
            <w:tcBorders>
              <w:top w:val="nil"/>
              <w:left w:val="nil"/>
              <w:bottom w:val="nil"/>
              <w:right w:val="nil"/>
            </w:tcBorders>
            <w:shd w:val="clear" w:color="auto" w:fill="auto"/>
            <w:noWrap/>
            <w:vAlign w:val="bottom"/>
            <w:hideMark/>
          </w:tcPr>
          <w:p w14:paraId="0360C504" w14:textId="77777777" w:rsidR="00EF1F17" w:rsidRPr="00C33193" w:rsidRDefault="00EF1F17" w:rsidP="000E5EFC">
            <w:pPr>
              <w:rPr>
                <w:rFonts w:ascii="Arial" w:eastAsia="Times New Roman" w:hAnsi="Arial" w:cs="Arial"/>
                <w:color w:val="000000"/>
                <w:lang w:val="en-GB"/>
              </w:rPr>
            </w:pPr>
          </w:p>
        </w:tc>
      </w:tr>
      <w:tr w:rsidR="00EF1F17" w:rsidRPr="00C33193" w14:paraId="11AE6176" w14:textId="77777777" w:rsidTr="000E5EFC">
        <w:trPr>
          <w:trHeight w:val="340"/>
        </w:trPr>
        <w:tc>
          <w:tcPr>
            <w:tcW w:w="115" w:type="dxa"/>
            <w:tcBorders>
              <w:top w:val="nil"/>
              <w:left w:val="single" w:sz="4" w:space="0" w:color="auto"/>
              <w:bottom w:val="nil"/>
              <w:right w:val="nil"/>
            </w:tcBorders>
            <w:shd w:val="clear" w:color="auto" w:fill="auto"/>
            <w:noWrap/>
            <w:vAlign w:val="bottom"/>
            <w:hideMark/>
          </w:tcPr>
          <w:p w14:paraId="7E53A720" w14:textId="77777777" w:rsidR="00EF1F17" w:rsidRPr="00C33193" w:rsidRDefault="00EF1F17" w:rsidP="000E5EFC">
            <w:pPr>
              <w:rPr>
                <w:rFonts w:ascii="Arial" w:eastAsia="Times New Roman" w:hAnsi="Arial" w:cs="Arial"/>
                <w:color w:val="000000"/>
                <w:lang w:val="en-GB"/>
              </w:rPr>
            </w:pPr>
            <w:r w:rsidRPr="00C33193">
              <w:rPr>
                <w:rFonts w:ascii="Arial" w:eastAsia="Times New Roman" w:hAnsi="Arial" w:cs="Arial"/>
                <w:color w:val="000000"/>
                <w:lang w:val="en-GB"/>
              </w:rPr>
              <w:t> </w:t>
            </w:r>
          </w:p>
        </w:tc>
        <w:tc>
          <w:tcPr>
            <w:tcW w:w="5463" w:type="dxa"/>
            <w:tcBorders>
              <w:top w:val="nil"/>
              <w:left w:val="nil"/>
              <w:bottom w:val="nil"/>
              <w:right w:val="single" w:sz="4" w:space="0" w:color="auto"/>
            </w:tcBorders>
            <w:shd w:val="clear" w:color="auto" w:fill="auto"/>
            <w:noWrap/>
            <w:vAlign w:val="bottom"/>
            <w:hideMark/>
          </w:tcPr>
          <w:p w14:paraId="6A3F795F" w14:textId="77777777" w:rsidR="00EF1F17" w:rsidRPr="00C33193" w:rsidRDefault="00EF1F17" w:rsidP="000E5EFC">
            <w:pPr>
              <w:rPr>
                <w:rFonts w:ascii="Arial" w:eastAsia="Times New Roman" w:hAnsi="Arial" w:cs="Arial"/>
                <w:i/>
                <w:iCs/>
                <w:color w:val="000000"/>
                <w:lang w:val="en-GB"/>
              </w:rPr>
            </w:pPr>
            <w:r w:rsidRPr="00C33193">
              <w:rPr>
                <w:rFonts w:ascii="Arial" w:eastAsia="Times New Roman" w:hAnsi="Arial" w:cs="Arial"/>
                <w:i/>
                <w:iCs/>
                <w:color w:val="000000"/>
                <w:lang w:val="en-GB"/>
              </w:rPr>
              <w:t xml:space="preserve">   physical abuse</w:t>
            </w:r>
          </w:p>
        </w:tc>
        <w:tc>
          <w:tcPr>
            <w:tcW w:w="2105" w:type="dxa"/>
            <w:tcBorders>
              <w:top w:val="nil"/>
              <w:left w:val="nil"/>
              <w:bottom w:val="nil"/>
              <w:right w:val="nil"/>
            </w:tcBorders>
            <w:shd w:val="clear" w:color="auto" w:fill="auto"/>
            <w:noWrap/>
            <w:vAlign w:val="bottom"/>
            <w:hideMark/>
          </w:tcPr>
          <w:p w14:paraId="2020305E"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11.69 (3.63)</w:t>
            </w:r>
          </w:p>
        </w:tc>
        <w:tc>
          <w:tcPr>
            <w:tcW w:w="2192" w:type="dxa"/>
            <w:tcBorders>
              <w:top w:val="nil"/>
              <w:left w:val="nil"/>
              <w:bottom w:val="nil"/>
              <w:right w:val="nil"/>
            </w:tcBorders>
            <w:shd w:val="clear" w:color="auto" w:fill="auto"/>
            <w:noWrap/>
            <w:vAlign w:val="bottom"/>
            <w:hideMark/>
          </w:tcPr>
          <w:p w14:paraId="0DEC4D7C"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0.60 (1.99)</w:t>
            </w:r>
          </w:p>
        </w:tc>
        <w:tc>
          <w:tcPr>
            <w:tcW w:w="1165" w:type="dxa"/>
            <w:tcBorders>
              <w:top w:val="nil"/>
              <w:left w:val="nil"/>
              <w:bottom w:val="nil"/>
              <w:right w:val="single" w:sz="4" w:space="0" w:color="auto"/>
            </w:tcBorders>
            <w:shd w:val="clear" w:color="auto" w:fill="auto"/>
            <w:vAlign w:val="bottom"/>
            <w:hideMark/>
          </w:tcPr>
          <w:p w14:paraId="3D653E87"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&lt;0.001*</w:t>
            </w:r>
          </w:p>
        </w:tc>
        <w:tc>
          <w:tcPr>
            <w:tcW w:w="1420" w:type="dxa"/>
            <w:tcBorders>
              <w:top w:val="nil"/>
              <w:left w:val="nil"/>
              <w:bottom w:val="nil"/>
              <w:right w:val="nil"/>
            </w:tcBorders>
            <w:shd w:val="clear" w:color="auto" w:fill="auto"/>
            <w:noWrap/>
            <w:vAlign w:val="bottom"/>
            <w:hideMark/>
          </w:tcPr>
          <w:p w14:paraId="701C8886" w14:textId="77777777" w:rsidR="00EF1F17" w:rsidRPr="00C33193" w:rsidRDefault="00EF1F17" w:rsidP="000E5EFC">
            <w:pPr>
              <w:rPr>
                <w:rFonts w:ascii="Arial" w:eastAsia="Times New Roman" w:hAnsi="Arial" w:cs="Arial"/>
                <w:color w:val="000000"/>
                <w:lang w:val="en-GB"/>
              </w:rPr>
            </w:pPr>
          </w:p>
        </w:tc>
      </w:tr>
      <w:tr w:rsidR="00EF1F17" w:rsidRPr="00C33193" w14:paraId="76C20071" w14:textId="77777777" w:rsidTr="000E5EFC">
        <w:trPr>
          <w:trHeight w:val="340"/>
        </w:trPr>
        <w:tc>
          <w:tcPr>
            <w:tcW w:w="115" w:type="dxa"/>
            <w:tcBorders>
              <w:top w:val="nil"/>
              <w:left w:val="single" w:sz="4" w:space="0" w:color="auto"/>
              <w:bottom w:val="nil"/>
              <w:right w:val="nil"/>
            </w:tcBorders>
            <w:shd w:val="clear" w:color="auto" w:fill="auto"/>
            <w:noWrap/>
            <w:vAlign w:val="bottom"/>
            <w:hideMark/>
          </w:tcPr>
          <w:p w14:paraId="69DDAB2E" w14:textId="77777777" w:rsidR="00EF1F17" w:rsidRPr="00C33193" w:rsidRDefault="00EF1F17" w:rsidP="000E5EFC">
            <w:pPr>
              <w:rPr>
                <w:rFonts w:ascii="Arial" w:eastAsia="Times New Roman" w:hAnsi="Arial" w:cs="Arial"/>
                <w:color w:val="000000"/>
                <w:lang w:val="en-GB"/>
              </w:rPr>
            </w:pPr>
            <w:r w:rsidRPr="00C33193">
              <w:rPr>
                <w:rFonts w:ascii="Arial" w:eastAsia="Times New Roman" w:hAnsi="Arial" w:cs="Arial"/>
                <w:color w:val="000000"/>
                <w:lang w:val="en-GB"/>
              </w:rPr>
              <w:t> </w:t>
            </w:r>
          </w:p>
        </w:tc>
        <w:tc>
          <w:tcPr>
            <w:tcW w:w="5463" w:type="dxa"/>
            <w:tcBorders>
              <w:top w:val="nil"/>
              <w:left w:val="nil"/>
              <w:bottom w:val="nil"/>
              <w:right w:val="single" w:sz="4" w:space="0" w:color="auto"/>
            </w:tcBorders>
            <w:shd w:val="clear" w:color="auto" w:fill="auto"/>
            <w:noWrap/>
            <w:vAlign w:val="bottom"/>
            <w:hideMark/>
          </w:tcPr>
          <w:p w14:paraId="77FCF034" w14:textId="77777777" w:rsidR="00EF1F17" w:rsidRPr="00C33193" w:rsidRDefault="00EF1F17" w:rsidP="000E5EFC">
            <w:pPr>
              <w:rPr>
                <w:rFonts w:ascii="Arial" w:eastAsia="Times New Roman" w:hAnsi="Arial" w:cs="Arial"/>
                <w:i/>
                <w:iCs/>
                <w:color w:val="000000"/>
                <w:lang w:val="en-GB"/>
              </w:rPr>
            </w:pPr>
            <w:r w:rsidRPr="00C33193">
              <w:rPr>
                <w:rFonts w:ascii="Arial" w:eastAsia="Times New Roman" w:hAnsi="Arial" w:cs="Arial"/>
                <w:i/>
                <w:iCs/>
                <w:color w:val="000000"/>
                <w:lang w:val="en-GB"/>
              </w:rPr>
              <w:t xml:space="preserve">   sexual harassment</w:t>
            </w:r>
          </w:p>
        </w:tc>
        <w:tc>
          <w:tcPr>
            <w:tcW w:w="2105" w:type="dxa"/>
            <w:tcBorders>
              <w:top w:val="nil"/>
              <w:left w:val="nil"/>
              <w:bottom w:val="nil"/>
              <w:right w:val="nil"/>
            </w:tcBorders>
            <w:shd w:val="clear" w:color="auto" w:fill="auto"/>
            <w:noWrap/>
            <w:vAlign w:val="bottom"/>
            <w:hideMark/>
          </w:tcPr>
          <w:p w14:paraId="3D97FBB1"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10.07 (4.29)</w:t>
            </w:r>
          </w:p>
        </w:tc>
        <w:tc>
          <w:tcPr>
            <w:tcW w:w="2192" w:type="dxa"/>
            <w:tcBorders>
              <w:top w:val="nil"/>
              <w:left w:val="nil"/>
              <w:bottom w:val="nil"/>
              <w:right w:val="nil"/>
            </w:tcBorders>
            <w:shd w:val="clear" w:color="auto" w:fill="auto"/>
            <w:noWrap/>
            <w:vAlign w:val="bottom"/>
            <w:hideMark/>
          </w:tcPr>
          <w:p w14:paraId="0A9F986F"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0.52 (1.57)</w:t>
            </w:r>
          </w:p>
        </w:tc>
        <w:tc>
          <w:tcPr>
            <w:tcW w:w="1165" w:type="dxa"/>
            <w:tcBorders>
              <w:top w:val="nil"/>
              <w:left w:val="nil"/>
              <w:bottom w:val="nil"/>
              <w:right w:val="single" w:sz="4" w:space="0" w:color="auto"/>
            </w:tcBorders>
            <w:shd w:val="clear" w:color="auto" w:fill="auto"/>
            <w:vAlign w:val="bottom"/>
            <w:hideMark/>
          </w:tcPr>
          <w:p w14:paraId="27A799B7"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&lt;0.001*</w:t>
            </w:r>
          </w:p>
        </w:tc>
        <w:tc>
          <w:tcPr>
            <w:tcW w:w="1420" w:type="dxa"/>
            <w:tcBorders>
              <w:top w:val="nil"/>
              <w:left w:val="nil"/>
              <w:bottom w:val="nil"/>
              <w:right w:val="nil"/>
            </w:tcBorders>
            <w:shd w:val="clear" w:color="auto" w:fill="auto"/>
            <w:noWrap/>
            <w:vAlign w:val="bottom"/>
            <w:hideMark/>
          </w:tcPr>
          <w:p w14:paraId="63C0CE94" w14:textId="77777777" w:rsidR="00EF1F17" w:rsidRPr="00C33193" w:rsidRDefault="00EF1F17" w:rsidP="000E5EFC">
            <w:pPr>
              <w:rPr>
                <w:rFonts w:ascii="Arial" w:eastAsia="Times New Roman" w:hAnsi="Arial" w:cs="Arial"/>
                <w:color w:val="000000"/>
                <w:lang w:val="en-GB"/>
              </w:rPr>
            </w:pPr>
          </w:p>
        </w:tc>
      </w:tr>
      <w:tr w:rsidR="00EF1F17" w:rsidRPr="00C33193" w14:paraId="2B998C46" w14:textId="77777777" w:rsidTr="000E5EFC">
        <w:trPr>
          <w:trHeight w:val="340"/>
        </w:trPr>
        <w:tc>
          <w:tcPr>
            <w:tcW w:w="115" w:type="dxa"/>
            <w:tcBorders>
              <w:top w:val="nil"/>
              <w:left w:val="single" w:sz="4" w:space="0" w:color="auto"/>
              <w:bottom w:val="nil"/>
              <w:right w:val="nil"/>
            </w:tcBorders>
            <w:shd w:val="clear" w:color="auto" w:fill="auto"/>
            <w:noWrap/>
            <w:vAlign w:val="bottom"/>
            <w:hideMark/>
          </w:tcPr>
          <w:p w14:paraId="0B97F8D9" w14:textId="77777777" w:rsidR="00EF1F17" w:rsidRPr="00C33193" w:rsidRDefault="00EF1F17" w:rsidP="000E5EFC">
            <w:pPr>
              <w:rPr>
                <w:rFonts w:ascii="Arial" w:eastAsia="Times New Roman" w:hAnsi="Arial" w:cs="Arial"/>
                <w:color w:val="000000"/>
                <w:lang w:val="en-GB"/>
              </w:rPr>
            </w:pPr>
            <w:r w:rsidRPr="00C33193">
              <w:rPr>
                <w:rFonts w:ascii="Arial" w:eastAsia="Times New Roman" w:hAnsi="Arial" w:cs="Arial"/>
                <w:color w:val="000000"/>
                <w:lang w:val="en-GB"/>
              </w:rPr>
              <w:t> </w:t>
            </w:r>
          </w:p>
        </w:tc>
        <w:tc>
          <w:tcPr>
            <w:tcW w:w="5463" w:type="dxa"/>
            <w:tcBorders>
              <w:top w:val="nil"/>
              <w:left w:val="nil"/>
              <w:bottom w:val="nil"/>
              <w:right w:val="single" w:sz="4" w:space="0" w:color="auto"/>
            </w:tcBorders>
            <w:shd w:val="clear" w:color="auto" w:fill="auto"/>
            <w:noWrap/>
            <w:vAlign w:val="bottom"/>
            <w:hideMark/>
          </w:tcPr>
          <w:p w14:paraId="603251CE" w14:textId="77777777" w:rsidR="00EF1F17" w:rsidRPr="00C33193" w:rsidRDefault="00EF1F17" w:rsidP="000E5EFC">
            <w:pPr>
              <w:rPr>
                <w:rFonts w:ascii="Arial" w:eastAsia="Times New Roman" w:hAnsi="Arial" w:cs="Arial"/>
                <w:i/>
                <w:iCs/>
                <w:color w:val="000000"/>
                <w:lang w:val="en-GB"/>
              </w:rPr>
            </w:pPr>
            <w:r w:rsidRPr="00C33193">
              <w:rPr>
                <w:rFonts w:ascii="Arial" w:eastAsia="Times New Roman" w:hAnsi="Arial" w:cs="Arial"/>
                <w:i/>
                <w:iCs/>
                <w:color w:val="000000"/>
                <w:lang w:val="en-GB"/>
              </w:rPr>
              <w:t xml:space="preserve">   sexual abuse</w:t>
            </w:r>
          </w:p>
        </w:tc>
        <w:tc>
          <w:tcPr>
            <w:tcW w:w="2105" w:type="dxa"/>
            <w:tcBorders>
              <w:top w:val="nil"/>
              <w:left w:val="nil"/>
              <w:bottom w:val="nil"/>
              <w:right w:val="nil"/>
            </w:tcBorders>
            <w:shd w:val="clear" w:color="auto" w:fill="auto"/>
            <w:noWrap/>
            <w:vAlign w:val="bottom"/>
            <w:hideMark/>
          </w:tcPr>
          <w:p w14:paraId="057935CA"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10.38 (4.41)</w:t>
            </w:r>
          </w:p>
        </w:tc>
        <w:tc>
          <w:tcPr>
            <w:tcW w:w="2192" w:type="dxa"/>
            <w:tcBorders>
              <w:top w:val="nil"/>
              <w:left w:val="nil"/>
              <w:bottom w:val="nil"/>
              <w:right w:val="nil"/>
            </w:tcBorders>
            <w:shd w:val="clear" w:color="auto" w:fill="auto"/>
            <w:noWrap/>
            <w:vAlign w:val="bottom"/>
            <w:hideMark/>
          </w:tcPr>
          <w:p w14:paraId="161133B8"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0.07 (0.34)</w:t>
            </w:r>
          </w:p>
        </w:tc>
        <w:tc>
          <w:tcPr>
            <w:tcW w:w="1165" w:type="dxa"/>
            <w:tcBorders>
              <w:top w:val="nil"/>
              <w:left w:val="nil"/>
              <w:bottom w:val="nil"/>
              <w:right w:val="single" w:sz="4" w:space="0" w:color="auto"/>
            </w:tcBorders>
            <w:shd w:val="clear" w:color="auto" w:fill="auto"/>
            <w:vAlign w:val="bottom"/>
            <w:hideMark/>
          </w:tcPr>
          <w:p w14:paraId="2CF9C933"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&lt;0.001*</w:t>
            </w:r>
          </w:p>
        </w:tc>
        <w:tc>
          <w:tcPr>
            <w:tcW w:w="1420" w:type="dxa"/>
            <w:tcBorders>
              <w:top w:val="nil"/>
              <w:left w:val="nil"/>
              <w:bottom w:val="nil"/>
              <w:right w:val="nil"/>
            </w:tcBorders>
            <w:shd w:val="clear" w:color="auto" w:fill="auto"/>
            <w:noWrap/>
            <w:vAlign w:val="bottom"/>
            <w:hideMark/>
          </w:tcPr>
          <w:p w14:paraId="05A87B94" w14:textId="77777777" w:rsidR="00EF1F17" w:rsidRPr="00C33193" w:rsidRDefault="00EF1F17" w:rsidP="000E5EFC">
            <w:pPr>
              <w:rPr>
                <w:rFonts w:ascii="Arial" w:eastAsia="Times New Roman" w:hAnsi="Arial" w:cs="Arial"/>
                <w:color w:val="000000"/>
                <w:lang w:val="en-GB"/>
              </w:rPr>
            </w:pPr>
          </w:p>
        </w:tc>
      </w:tr>
      <w:tr w:rsidR="00EF1F17" w:rsidRPr="00C33193" w14:paraId="5719A7C5" w14:textId="77777777" w:rsidTr="000E5EFC">
        <w:trPr>
          <w:trHeight w:val="340"/>
        </w:trPr>
        <w:tc>
          <w:tcPr>
            <w:tcW w:w="115" w:type="dxa"/>
            <w:tcBorders>
              <w:top w:val="nil"/>
              <w:left w:val="single" w:sz="4" w:space="0" w:color="auto"/>
              <w:bottom w:val="nil"/>
              <w:right w:val="nil"/>
            </w:tcBorders>
            <w:shd w:val="clear" w:color="auto" w:fill="auto"/>
            <w:noWrap/>
            <w:vAlign w:val="bottom"/>
            <w:hideMark/>
          </w:tcPr>
          <w:p w14:paraId="3CA7130D" w14:textId="77777777" w:rsidR="00EF1F17" w:rsidRPr="00C33193" w:rsidRDefault="00EF1F17" w:rsidP="000E5EFC">
            <w:pPr>
              <w:rPr>
                <w:rFonts w:ascii="Arial" w:eastAsia="Times New Roman" w:hAnsi="Arial" w:cs="Arial"/>
                <w:color w:val="000000"/>
                <w:lang w:val="en-GB"/>
              </w:rPr>
            </w:pPr>
            <w:r w:rsidRPr="00C33193">
              <w:rPr>
                <w:rFonts w:ascii="Arial" w:eastAsia="Times New Roman" w:hAnsi="Arial" w:cs="Arial"/>
                <w:color w:val="000000"/>
                <w:lang w:val="en-GB"/>
              </w:rPr>
              <w:lastRenderedPageBreak/>
              <w:t> </w:t>
            </w:r>
          </w:p>
        </w:tc>
        <w:tc>
          <w:tcPr>
            <w:tcW w:w="5463" w:type="dxa"/>
            <w:tcBorders>
              <w:top w:val="nil"/>
              <w:left w:val="nil"/>
              <w:bottom w:val="nil"/>
              <w:right w:val="nil"/>
            </w:tcBorders>
            <w:shd w:val="clear" w:color="auto" w:fill="auto"/>
            <w:noWrap/>
            <w:vAlign w:val="bottom"/>
            <w:hideMark/>
          </w:tcPr>
          <w:p w14:paraId="7092A759" w14:textId="77777777" w:rsidR="00EF1F17" w:rsidRPr="00C33193" w:rsidRDefault="00EF1F17" w:rsidP="000E5EFC">
            <w:pPr>
              <w:rPr>
                <w:rFonts w:ascii="Arial" w:eastAsia="Times New Roman" w:hAnsi="Arial" w:cs="Arial"/>
                <w:i/>
                <w:iCs/>
                <w:color w:val="000000"/>
                <w:lang w:val="en-GB"/>
              </w:rPr>
            </w:pPr>
            <w:r w:rsidRPr="00C33193">
              <w:rPr>
                <w:rFonts w:ascii="Arial" w:eastAsia="Times New Roman" w:hAnsi="Arial" w:cs="Arial"/>
                <w:i/>
                <w:iCs/>
                <w:color w:val="000000"/>
                <w:lang w:val="en-GB"/>
              </w:rPr>
              <w:t xml:space="preserve">   total </w:t>
            </w:r>
          </w:p>
        </w:tc>
        <w:tc>
          <w:tcPr>
            <w:tcW w:w="2105" w:type="dxa"/>
            <w:tcBorders>
              <w:top w:val="nil"/>
              <w:left w:val="single" w:sz="4" w:space="0" w:color="auto"/>
              <w:bottom w:val="nil"/>
              <w:right w:val="nil"/>
            </w:tcBorders>
            <w:shd w:val="clear" w:color="auto" w:fill="auto"/>
            <w:noWrap/>
            <w:vAlign w:val="bottom"/>
            <w:hideMark/>
          </w:tcPr>
          <w:p w14:paraId="452AE211"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18.45 (3.97)</w:t>
            </w:r>
          </w:p>
        </w:tc>
        <w:tc>
          <w:tcPr>
            <w:tcW w:w="2192" w:type="dxa"/>
            <w:tcBorders>
              <w:top w:val="nil"/>
              <w:left w:val="nil"/>
              <w:bottom w:val="nil"/>
              <w:right w:val="nil"/>
            </w:tcBorders>
            <w:shd w:val="clear" w:color="auto" w:fill="auto"/>
            <w:noWrap/>
            <w:vAlign w:val="bottom"/>
            <w:hideMark/>
          </w:tcPr>
          <w:p w14:paraId="192F6CD6"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3.14 (2.78)</w:t>
            </w:r>
          </w:p>
        </w:tc>
        <w:tc>
          <w:tcPr>
            <w:tcW w:w="1165" w:type="dxa"/>
            <w:tcBorders>
              <w:top w:val="nil"/>
              <w:left w:val="nil"/>
              <w:bottom w:val="nil"/>
              <w:right w:val="single" w:sz="4" w:space="0" w:color="auto"/>
            </w:tcBorders>
            <w:shd w:val="clear" w:color="auto" w:fill="auto"/>
            <w:vAlign w:val="bottom"/>
            <w:hideMark/>
          </w:tcPr>
          <w:p w14:paraId="4B6F0C3B"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&lt;0.001*</w:t>
            </w:r>
          </w:p>
        </w:tc>
        <w:tc>
          <w:tcPr>
            <w:tcW w:w="1420" w:type="dxa"/>
            <w:tcBorders>
              <w:top w:val="nil"/>
              <w:left w:val="nil"/>
              <w:bottom w:val="nil"/>
              <w:right w:val="nil"/>
            </w:tcBorders>
            <w:shd w:val="clear" w:color="auto" w:fill="auto"/>
            <w:noWrap/>
            <w:vAlign w:val="bottom"/>
            <w:hideMark/>
          </w:tcPr>
          <w:p w14:paraId="7E352000" w14:textId="77777777" w:rsidR="00EF1F17" w:rsidRPr="00C33193" w:rsidRDefault="00EF1F17" w:rsidP="000E5EFC">
            <w:pPr>
              <w:rPr>
                <w:rFonts w:ascii="Arial" w:eastAsia="Times New Roman" w:hAnsi="Arial" w:cs="Arial"/>
                <w:color w:val="000000"/>
                <w:lang w:val="en-GB"/>
              </w:rPr>
            </w:pPr>
          </w:p>
        </w:tc>
      </w:tr>
      <w:tr w:rsidR="00EF1F17" w:rsidRPr="00C33193" w14:paraId="72A9970D" w14:textId="77777777" w:rsidTr="000E5EFC">
        <w:trPr>
          <w:trHeight w:val="340"/>
        </w:trPr>
        <w:tc>
          <w:tcPr>
            <w:tcW w:w="115" w:type="dxa"/>
            <w:tcBorders>
              <w:top w:val="nil"/>
              <w:left w:val="single" w:sz="4" w:space="0" w:color="auto"/>
              <w:bottom w:val="nil"/>
              <w:right w:val="nil"/>
            </w:tcBorders>
            <w:shd w:val="clear" w:color="auto" w:fill="auto"/>
            <w:noWrap/>
            <w:vAlign w:val="bottom"/>
            <w:hideMark/>
          </w:tcPr>
          <w:p w14:paraId="0E460F81" w14:textId="77777777" w:rsidR="00EF1F17" w:rsidRPr="00C33193" w:rsidRDefault="00EF1F17" w:rsidP="000E5EFC">
            <w:pPr>
              <w:rPr>
                <w:rFonts w:ascii="Arial" w:eastAsia="Times New Roman" w:hAnsi="Arial" w:cs="Arial"/>
                <w:color w:val="000000"/>
                <w:lang w:val="en-GB"/>
              </w:rPr>
            </w:pPr>
            <w:r w:rsidRPr="00C33193">
              <w:rPr>
                <w:rFonts w:ascii="Arial" w:eastAsia="Times New Roman" w:hAnsi="Arial" w:cs="Arial"/>
                <w:color w:val="000000"/>
                <w:lang w:val="en-GB"/>
              </w:rPr>
              <w:t> </w:t>
            </w:r>
          </w:p>
        </w:tc>
        <w:tc>
          <w:tcPr>
            <w:tcW w:w="5463" w:type="dxa"/>
            <w:tcBorders>
              <w:top w:val="nil"/>
              <w:left w:val="nil"/>
              <w:bottom w:val="nil"/>
              <w:right w:val="nil"/>
            </w:tcBorders>
            <w:shd w:val="clear" w:color="auto" w:fill="auto"/>
            <w:vAlign w:val="bottom"/>
            <w:hideMark/>
          </w:tcPr>
          <w:p w14:paraId="30CD80A9" w14:textId="77777777" w:rsidR="00EF1F17" w:rsidRPr="00C33193" w:rsidRDefault="00EF1F17" w:rsidP="000E5EFC">
            <w:pPr>
              <w:jc w:val="both"/>
              <w:rPr>
                <w:rFonts w:ascii="Arial" w:eastAsia="Times New Roman" w:hAnsi="Arial" w:cs="Arial"/>
                <w:b/>
                <w:bCs/>
                <w:color w:val="000000"/>
                <w:lang w:val="en-GB"/>
              </w:rPr>
            </w:pPr>
            <w:r w:rsidRPr="00C33193">
              <w:rPr>
                <w:rFonts w:ascii="Arial" w:eastAsia="Times New Roman" w:hAnsi="Arial" w:cs="Arial"/>
                <w:b/>
                <w:bCs/>
                <w:color w:val="000000"/>
                <w:lang w:val="en-GB"/>
              </w:rPr>
              <w:t>TEC: 0 - 6 years^^</w:t>
            </w:r>
          </w:p>
        </w:tc>
        <w:tc>
          <w:tcPr>
            <w:tcW w:w="2105" w:type="dxa"/>
            <w:tcBorders>
              <w:top w:val="nil"/>
              <w:left w:val="single" w:sz="4" w:space="0" w:color="auto"/>
              <w:bottom w:val="nil"/>
              <w:right w:val="nil"/>
            </w:tcBorders>
            <w:shd w:val="clear" w:color="auto" w:fill="auto"/>
            <w:vAlign w:val="bottom"/>
            <w:hideMark/>
          </w:tcPr>
          <w:p w14:paraId="56CDA118" w14:textId="77777777" w:rsidR="00EF1F17" w:rsidRPr="00C33193" w:rsidRDefault="00EF1F17" w:rsidP="000E5EFC">
            <w:pPr>
              <w:jc w:val="both"/>
              <w:rPr>
                <w:rFonts w:ascii="Arial" w:eastAsia="Times New Roman" w:hAnsi="Arial" w:cs="Arial"/>
                <w:b/>
                <w:bCs/>
                <w:color w:val="000000"/>
                <w:lang w:val="en-GB"/>
              </w:rPr>
            </w:pPr>
            <w:r w:rsidRPr="00C33193">
              <w:rPr>
                <w:rFonts w:ascii="Arial" w:eastAsia="Times New Roman" w:hAnsi="Arial" w:cs="Arial"/>
                <w:b/>
                <w:bCs/>
                <w:color w:val="000000"/>
                <w:lang w:val="en-GB"/>
              </w:rPr>
              <w:t> </w:t>
            </w:r>
          </w:p>
        </w:tc>
        <w:tc>
          <w:tcPr>
            <w:tcW w:w="2192" w:type="dxa"/>
            <w:tcBorders>
              <w:top w:val="nil"/>
              <w:left w:val="nil"/>
              <w:bottom w:val="nil"/>
              <w:right w:val="nil"/>
            </w:tcBorders>
            <w:shd w:val="clear" w:color="auto" w:fill="auto"/>
            <w:vAlign w:val="bottom"/>
            <w:hideMark/>
          </w:tcPr>
          <w:p w14:paraId="29A9FD6C" w14:textId="77777777" w:rsidR="00EF1F17" w:rsidRPr="00C33193" w:rsidRDefault="00EF1F17" w:rsidP="000E5EFC">
            <w:pPr>
              <w:jc w:val="center"/>
              <w:rPr>
                <w:rFonts w:ascii="Arial" w:eastAsia="Times New Roman" w:hAnsi="Arial" w:cs="Arial"/>
                <w:color w:val="000000"/>
                <w:lang w:val="en-GB"/>
              </w:rPr>
            </w:pPr>
          </w:p>
        </w:tc>
        <w:tc>
          <w:tcPr>
            <w:tcW w:w="1165" w:type="dxa"/>
            <w:tcBorders>
              <w:top w:val="nil"/>
              <w:left w:val="nil"/>
              <w:bottom w:val="nil"/>
              <w:right w:val="single" w:sz="4" w:space="0" w:color="auto"/>
            </w:tcBorders>
            <w:shd w:val="clear" w:color="auto" w:fill="auto"/>
            <w:vAlign w:val="bottom"/>
            <w:hideMark/>
          </w:tcPr>
          <w:p w14:paraId="796BDAB1"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 </w:t>
            </w:r>
          </w:p>
        </w:tc>
        <w:tc>
          <w:tcPr>
            <w:tcW w:w="1420" w:type="dxa"/>
            <w:tcBorders>
              <w:top w:val="nil"/>
              <w:left w:val="nil"/>
              <w:bottom w:val="nil"/>
              <w:right w:val="nil"/>
            </w:tcBorders>
            <w:shd w:val="clear" w:color="auto" w:fill="auto"/>
            <w:noWrap/>
            <w:vAlign w:val="bottom"/>
            <w:hideMark/>
          </w:tcPr>
          <w:p w14:paraId="39B1BCED" w14:textId="77777777" w:rsidR="00EF1F17" w:rsidRPr="00C33193" w:rsidRDefault="00EF1F17" w:rsidP="000E5EFC">
            <w:pPr>
              <w:rPr>
                <w:rFonts w:ascii="Arial" w:eastAsia="Times New Roman" w:hAnsi="Arial" w:cs="Arial"/>
                <w:color w:val="000000"/>
                <w:lang w:val="en-GB"/>
              </w:rPr>
            </w:pPr>
          </w:p>
        </w:tc>
      </w:tr>
      <w:tr w:rsidR="00EF1F17" w:rsidRPr="00C33193" w14:paraId="394B52A7" w14:textId="77777777" w:rsidTr="000E5EFC">
        <w:trPr>
          <w:trHeight w:val="340"/>
        </w:trPr>
        <w:tc>
          <w:tcPr>
            <w:tcW w:w="115" w:type="dxa"/>
            <w:tcBorders>
              <w:top w:val="nil"/>
              <w:left w:val="single" w:sz="4" w:space="0" w:color="auto"/>
              <w:bottom w:val="nil"/>
              <w:right w:val="nil"/>
            </w:tcBorders>
            <w:shd w:val="clear" w:color="auto" w:fill="auto"/>
            <w:noWrap/>
            <w:vAlign w:val="bottom"/>
            <w:hideMark/>
          </w:tcPr>
          <w:p w14:paraId="6F14CE72" w14:textId="77777777" w:rsidR="00EF1F17" w:rsidRPr="00C33193" w:rsidRDefault="00EF1F17" w:rsidP="000E5EFC">
            <w:pPr>
              <w:rPr>
                <w:rFonts w:ascii="Arial" w:eastAsia="Times New Roman" w:hAnsi="Arial" w:cs="Arial"/>
                <w:b/>
                <w:bCs/>
                <w:color w:val="000000"/>
                <w:lang w:val="en-GB"/>
              </w:rPr>
            </w:pPr>
            <w:r w:rsidRPr="00C33193">
              <w:rPr>
                <w:rFonts w:ascii="Arial" w:eastAsia="Times New Roman" w:hAnsi="Arial" w:cs="Arial"/>
                <w:b/>
                <w:bCs/>
                <w:color w:val="000000"/>
                <w:lang w:val="en-GB"/>
              </w:rPr>
              <w:t> </w:t>
            </w:r>
          </w:p>
        </w:tc>
        <w:tc>
          <w:tcPr>
            <w:tcW w:w="5463" w:type="dxa"/>
            <w:tcBorders>
              <w:top w:val="nil"/>
              <w:left w:val="nil"/>
              <w:bottom w:val="nil"/>
              <w:right w:val="nil"/>
            </w:tcBorders>
            <w:shd w:val="clear" w:color="auto" w:fill="auto"/>
            <w:vAlign w:val="bottom"/>
            <w:hideMark/>
          </w:tcPr>
          <w:p w14:paraId="0C40EE04" w14:textId="77777777" w:rsidR="00EF1F17" w:rsidRPr="00C33193" w:rsidRDefault="00EF1F17" w:rsidP="000E5EFC">
            <w:pPr>
              <w:rPr>
                <w:rFonts w:ascii="Arial" w:eastAsia="Times New Roman" w:hAnsi="Arial" w:cs="Arial"/>
                <w:i/>
                <w:iCs/>
                <w:color w:val="000000"/>
                <w:lang w:val="en-GB"/>
              </w:rPr>
            </w:pPr>
            <w:r w:rsidRPr="00C33193">
              <w:rPr>
                <w:rFonts w:ascii="Arial" w:eastAsia="Times New Roman" w:hAnsi="Arial" w:cs="Arial"/>
                <w:i/>
                <w:iCs/>
                <w:color w:val="000000"/>
                <w:lang w:val="en-GB"/>
              </w:rPr>
              <w:t xml:space="preserve">   emotional neglect</w:t>
            </w:r>
          </w:p>
        </w:tc>
        <w:tc>
          <w:tcPr>
            <w:tcW w:w="2105" w:type="dxa"/>
            <w:tcBorders>
              <w:top w:val="nil"/>
              <w:left w:val="single" w:sz="4" w:space="0" w:color="auto"/>
              <w:bottom w:val="nil"/>
              <w:right w:val="nil"/>
            </w:tcBorders>
            <w:shd w:val="clear" w:color="auto" w:fill="auto"/>
            <w:vAlign w:val="bottom"/>
            <w:hideMark/>
          </w:tcPr>
          <w:p w14:paraId="31F7DA02"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5.00 (0.00)</w:t>
            </w:r>
          </w:p>
        </w:tc>
        <w:tc>
          <w:tcPr>
            <w:tcW w:w="2192" w:type="dxa"/>
            <w:tcBorders>
              <w:top w:val="nil"/>
              <w:left w:val="nil"/>
              <w:bottom w:val="nil"/>
              <w:right w:val="nil"/>
            </w:tcBorders>
            <w:shd w:val="clear" w:color="auto" w:fill="auto"/>
            <w:vAlign w:val="bottom"/>
            <w:hideMark/>
          </w:tcPr>
          <w:p w14:paraId="0C734E4E"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1.05 (1.94)</w:t>
            </w:r>
          </w:p>
        </w:tc>
        <w:tc>
          <w:tcPr>
            <w:tcW w:w="1165" w:type="dxa"/>
            <w:tcBorders>
              <w:top w:val="nil"/>
              <w:left w:val="nil"/>
              <w:bottom w:val="nil"/>
              <w:right w:val="single" w:sz="4" w:space="0" w:color="auto"/>
            </w:tcBorders>
            <w:shd w:val="clear" w:color="auto" w:fill="auto"/>
            <w:vAlign w:val="bottom"/>
            <w:hideMark/>
          </w:tcPr>
          <w:p w14:paraId="3E8FB611"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&lt;0.001*</w:t>
            </w:r>
          </w:p>
        </w:tc>
        <w:tc>
          <w:tcPr>
            <w:tcW w:w="1420" w:type="dxa"/>
            <w:tcBorders>
              <w:top w:val="nil"/>
              <w:left w:val="nil"/>
              <w:bottom w:val="nil"/>
              <w:right w:val="nil"/>
            </w:tcBorders>
            <w:shd w:val="clear" w:color="auto" w:fill="auto"/>
            <w:noWrap/>
            <w:vAlign w:val="bottom"/>
            <w:hideMark/>
          </w:tcPr>
          <w:p w14:paraId="2A4878B4" w14:textId="77777777" w:rsidR="00EF1F17" w:rsidRPr="00C33193" w:rsidRDefault="00EF1F17" w:rsidP="000E5EFC">
            <w:pPr>
              <w:rPr>
                <w:rFonts w:ascii="Arial" w:eastAsia="Times New Roman" w:hAnsi="Arial" w:cs="Arial"/>
                <w:color w:val="000000"/>
                <w:lang w:val="en-GB"/>
              </w:rPr>
            </w:pPr>
          </w:p>
        </w:tc>
      </w:tr>
      <w:tr w:rsidR="00EF1F17" w:rsidRPr="00C33193" w14:paraId="37A19F78" w14:textId="77777777" w:rsidTr="000E5EFC">
        <w:trPr>
          <w:trHeight w:val="340"/>
        </w:trPr>
        <w:tc>
          <w:tcPr>
            <w:tcW w:w="115" w:type="dxa"/>
            <w:tcBorders>
              <w:top w:val="nil"/>
              <w:left w:val="single" w:sz="4" w:space="0" w:color="auto"/>
              <w:bottom w:val="nil"/>
              <w:right w:val="nil"/>
            </w:tcBorders>
            <w:shd w:val="clear" w:color="auto" w:fill="auto"/>
            <w:noWrap/>
            <w:vAlign w:val="bottom"/>
            <w:hideMark/>
          </w:tcPr>
          <w:p w14:paraId="19AEB287" w14:textId="77777777" w:rsidR="00EF1F17" w:rsidRPr="00C33193" w:rsidRDefault="00EF1F17" w:rsidP="000E5EFC">
            <w:pPr>
              <w:rPr>
                <w:rFonts w:ascii="Arial" w:eastAsia="Times New Roman" w:hAnsi="Arial" w:cs="Arial"/>
                <w:color w:val="000000"/>
                <w:lang w:val="en-GB"/>
              </w:rPr>
            </w:pPr>
            <w:r w:rsidRPr="00C33193">
              <w:rPr>
                <w:rFonts w:ascii="Arial" w:eastAsia="Times New Roman" w:hAnsi="Arial" w:cs="Arial"/>
                <w:color w:val="000000"/>
                <w:lang w:val="en-GB"/>
              </w:rPr>
              <w:t> </w:t>
            </w:r>
          </w:p>
        </w:tc>
        <w:tc>
          <w:tcPr>
            <w:tcW w:w="5463" w:type="dxa"/>
            <w:tcBorders>
              <w:top w:val="nil"/>
              <w:left w:val="nil"/>
              <w:bottom w:val="nil"/>
              <w:right w:val="nil"/>
            </w:tcBorders>
            <w:shd w:val="clear" w:color="auto" w:fill="auto"/>
            <w:vAlign w:val="bottom"/>
            <w:hideMark/>
          </w:tcPr>
          <w:p w14:paraId="5E03A10F" w14:textId="77777777" w:rsidR="00EF1F17" w:rsidRPr="00C33193" w:rsidRDefault="00EF1F17" w:rsidP="000E5EFC">
            <w:pPr>
              <w:rPr>
                <w:rFonts w:ascii="Arial" w:eastAsia="Times New Roman" w:hAnsi="Arial" w:cs="Arial"/>
                <w:i/>
                <w:iCs/>
                <w:color w:val="000000"/>
                <w:lang w:val="en-GB"/>
              </w:rPr>
            </w:pPr>
            <w:r w:rsidRPr="00C33193">
              <w:rPr>
                <w:rFonts w:ascii="Arial" w:eastAsia="Times New Roman" w:hAnsi="Arial" w:cs="Arial"/>
                <w:i/>
                <w:iCs/>
                <w:color w:val="000000"/>
                <w:lang w:val="en-GB"/>
              </w:rPr>
              <w:t xml:space="preserve">   emotional abuse</w:t>
            </w:r>
          </w:p>
        </w:tc>
        <w:tc>
          <w:tcPr>
            <w:tcW w:w="2105" w:type="dxa"/>
            <w:tcBorders>
              <w:top w:val="nil"/>
              <w:left w:val="single" w:sz="4" w:space="0" w:color="auto"/>
              <w:bottom w:val="nil"/>
              <w:right w:val="nil"/>
            </w:tcBorders>
            <w:shd w:val="clear" w:color="auto" w:fill="auto"/>
            <w:vAlign w:val="bottom"/>
            <w:hideMark/>
          </w:tcPr>
          <w:p w14:paraId="4C46A93F"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4.75 (0.97)</w:t>
            </w:r>
          </w:p>
        </w:tc>
        <w:tc>
          <w:tcPr>
            <w:tcW w:w="2192" w:type="dxa"/>
            <w:tcBorders>
              <w:top w:val="nil"/>
              <w:left w:val="nil"/>
              <w:bottom w:val="nil"/>
              <w:right w:val="nil"/>
            </w:tcBorders>
            <w:shd w:val="clear" w:color="auto" w:fill="auto"/>
            <w:vAlign w:val="bottom"/>
            <w:hideMark/>
          </w:tcPr>
          <w:p w14:paraId="4DD7A5D6"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0.35 (1.29)</w:t>
            </w:r>
          </w:p>
        </w:tc>
        <w:tc>
          <w:tcPr>
            <w:tcW w:w="1165" w:type="dxa"/>
            <w:tcBorders>
              <w:top w:val="nil"/>
              <w:left w:val="nil"/>
              <w:bottom w:val="nil"/>
              <w:right w:val="single" w:sz="4" w:space="0" w:color="auto"/>
            </w:tcBorders>
            <w:shd w:val="clear" w:color="auto" w:fill="auto"/>
            <w:vAlign w:val="bottom"/>
            <w:hideMark/>
          </w:tcPr>
          <w:p w14:paraId="6501D550"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&lt;0.001*</w:t>
            </w:r>
          </w:p>
        </w:tc>
        <w:tc>
          <w:tcPr>
            <w:tcW w:w="1420" w:type="dxa"/>
            <w:tcBorders>
              <w:top w:val="nil"/>
              <w:left w:val="nil"/>
              <w:bottom w:val="nil"/>
              <w:right w:val="nil"/>
            </w:tcBorders>
            <w:shd w:val="clear" w:color="auto" w:fill="auto"/>
            <w:noWrap/>
            <w:vAlign w:val="bottom"/>
            <w:hideMark/>
          </w:tcPr>
          <w:p w14:paraId="12613E59" w14:textId="77777777" w:rsidR="00EF1F17" w:rsidRPr="00C33193" w:rsidRDefault="00EF1F17" w:rsidP="000E5EFC">
            <w:pPr>
              <w:rPr>
                <w:rFonts w:ascii="Arial" w:eastAsia="Times New Roman" w:hAnsi="Arial" w:cs="Arial"/>
                <w:color w:val="000000"/>
                <w:lang w:val="en-GB"/>
              </w:rPr>
            </w:pPr>
          </w:p>
        </w:tc>
      </w:tr>
      <w:tr w:rsidR="00EF1F17" w:rsidRPr="00C33193" w14:paraId="1BDE0778" w14:textId="77777777" w:rsidTr="000E5EFC">
        <w:trPr>
          <w:trHeight w:val="340"/>
        </w:trPr>
        <w:tc>
          <w:tcPr>
            <w:tcW w:w="115" w:type="dxa"/>
            <w:tcBorders>
              <w:top w:val="nil"/>
              <w:left w:val="single" w:sz="4" w:space="0" w:color="auto"/>
              <w:bottom w:val="nil"/>
              <w:right w:val="nil"/>
            </w:tcBorders>
            <w:shd w:val="clear" w:color="auto" w:fill="auto"/>
            <w:noWrap/>
            <w:vAlign w:val="bottom"/>
            <w:hideMark/>
          </w:tcPr>
          <w:p w14:paraId="4E6F8ED7" w14:textId="77777777" w:rsidR="00EF1F17" w:rsidRPr="00C33193" w:rsidRDefault="00EF1F17" w:rsidP="000E5EFC">
            <w:pPr>
              <w:rPr>
                <w:rFonts w:ascii="Arial" w:eastAsia="Times New Roman" w:hAnsi="Arial" w:cs="Arial"/>
                <w:color w:val="000000"/>
                <w:lang w:val="en-GB"/>
              </w:rPr>
            </w:pPr>
            <w:r w:rsidRPr="00C33193">
              <w:rPr>
                <w:rFonts w:ascii="Arial" w:eastAsia="Times New Roman" w:hAnsi="Arial" w:cs="Arial"/>
                <w:color w:val="000000"/>
                <w:lang w:val="en-GB"/>
              </w:rPr>
              <w:t> </w:t>
            </w:r>
          </w:p>
        </w:tc>
        <w:tc>
          <w:tcPr>
            <w:tcW w:w="5463" w:type="dxa"/>
            <w:tcBorders>
              <w:top w:val="nil"/>
              <w:left w:val="nil"/>
              <w:bottom w:val="nil"/>
              <w:right w:val="nil"/>
            </w:tcBorders>
            <w:shd w:val="clear" w:color="auto" w:fill="auto"/>
            <w:vAlign w:val="bottom"/>
            <w:hideMark/>
          </w:tcPr>
          <w:p w14:paraId="28C7BC8D" w14:textId="77777777" w:rsidR="00EF1F17" w:rsidRPr="00C33193" w:rsidRDefault="00EF1F17" w:rsidP="000E5EFC">
            <w:pPr>
              <w:rPr>
                <w:rFonts w:ascii="Arial" w:eastAsia="Times New Roman" w:hAnsi="Arial" w:cs="Arial"/>
                <w:i/>
                <w:iCs/>
                <w:color w:val="000000"/>
                <w:lang w:val="en-GB"/>
              </w:rPr>
            </w:pPr>
            <w:r w:rsidRPr="00C33193">
              <w:rPr>
                <w:rFonts w:ascii="Arial" w:eastAsia="Times New Roman" w:hAnsi="Arial" w:cs="Arial"/>
                <w:i/>
                <w:iCs/>
                <w:color w:val="000000"/>
                <w:lang w:val="en-GB"/>
              </w:rPr>
              <w:t xml:space="preserve">   physical abuse</w:t>
            </w:r>
          </w:p>
        </w:tc>
        <w:tc>
          <w:tcPr>
            <w:tcW w:w="2105" w:type="dxa"/>
            <w:tcBorders>
              <w:top w:val="nil"/>
              <w:left w:val="single" w:sz="4" w:space="0" w:color="auto"/>
              <w:bottom w:val="nil"/>
              <w:right w:val="nil"/>
            </w:tcBorders>
            <w:shd w:val="clear" w:color="auto" w:fill="auto"/>
            <w:vAlign w:val="bottom"/>
            <w:hideMark/>
          </w:tcPr>
          <w:p w14:paraId="11993D06"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4.75 (1.00)</w:t>
            </w:r>
          </w:p>
        </w:tc>
        <w:tc>
          <w:tcPr>
            <w:tcW w:w="2192" w:type="dxa"/>
            <w:tcBorders>
              <w:top w:val="nil"/>
              <w:left w:val="nil"/>
              <w:bottom w:val="nil"/>
              <w:right w:val="nil"/>
            </w:tcBorders>
            <w:shd w:val="clear" w:color="auto" w:fill="auto"/>
            <w:vAlign w:val="bottom"/>
            <w:hideMark/>
          </w:tcPr>
          <w:p w14:paraId="3EC6D3D0"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0.30 (1.12)</w:t>
            </w:r>
          </w:p>
        </w:tc>
        <w:tc>
          <w:tcPr>
            <w:tcW w:w="1165" w:type="dxa"/>
            <w:tcBorders>
              <w:top w:val="nil"/>
              <w:left w:val="nil"/>
              <w:bottom w:val="nil"/>
              <w:right w:val="single" w:sz="4" w:space="0" w:color="auto"/>
            </w:tcBorders>
            <w:shd w:val="clear" w:color="auto" w:fill="auto"/>
            <w:vAlign w:val="bottom"/>
            <w:hideMark/>
          </w:tcPr>
          <w:p w14:paraId="6CB8BB16"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&lt;0.001*</w:t>
            </w:r>
          </w:p>
        </w:tc>
        <w:tc>
          <w:tcPr>
            <w:tcW w:w="1420" w:type="dxa"/>
            <w:tcBorders>
              <w:top w:val="nil"/>
              <w:left w:val="nil"/>
              <w:bottom w:val="nil"/>
              <w:right w:val="nil"/>
            </w:tcBorders>
            <w:shd w:val="clear" w:color="auto" w:fill="auto"/>
            <w:noWrap/>
            <w:vAlign w:val="bottom"/>
            <w:hideMark/>
          </w:tcPr>
          <w:p w14:paraId="05EE23BF" w14:textId="77777777" w:rsidR="00EF1F17" w:rsidRPr="00C33193" w:rsidRDefault="00EF1F17" w:rsidP="000E5EFC">
            <w:pPr>
              <w:rPr>
                <w:rFonts w:ascii="Arial" w:eastAsia="Times New Roman" w:hAnsi="Arial" w:cs="Arial"/>
                <w:color w:val="000000"/>
                <w:lang w:val="en-GB"/>
              </w:rPr>
            </w:pPr>
          </w:p>
        </w:tc>
      </w:tr>
      <w:tr w:rsidR="00EF1F17" w:rsidRPr="00C33193" w14:paraId="0802FC0A" w14:textId="77777777" w:rsidTr="000E5EFC">
        <w:trPr>
          <w:trHeight w:val="340"/>
        </w:trPr>
        <w:tc>
          <w:tcPr>
            <w:tcW w:w="115" w:type="dxa"/>
            <w:tcBorders>
              <w:top w:val="nil"/>
              <w:left w:val="single" w:sz="4" w:space="0" w:color="auto"/>
              <w:bottom w:val="nil"/>
              <w:right w:val="nil"/>
            </w:tcBorders>
            <w:shd w:val="clear" w:color="auto" w:fill="auto"/>
            <w:noWrap/>
            <w:vAlign w:val="bottom"/>
            <w:hideMark/>
          </w:tcPr>
          <w:p w14:paraId="2FD13919" w14:textId="77777777" w:rsidR="00EF1F17" w:rsidRPr="00C33193" w:rsidRDefault="00EF1F17" w:rsidP="000E5EFC">
            <w:pPr>
              <w:rPr>
                <w:rFonts w:ascii="Arial" w:eastAsia="Times New Roman" w:hAnsi="Arial" w:cs="Arial"/>
                <w:color w:val="000000"/>
                <w:lang w:val="en-GB"/>
              </w:rPr>
            </w:pPr>
            <w:r w:rsidRPr="00C33193">
              <w:rPr>
                <w:rFonts w:ascii="Arial" w:eastAsia="Times New Roman" w:hAnsi="Arial" w:cs="Arial"/>
                <w:color w:val="000000"/>
                <w:lang w:val="en-GB"/>
              </w:rPr>
              <w:t> </w:t>
            </w:r>
          </w:p>
        </w:tc>
        <w:tc>
          <w:tcPr>
            <w:tcW w:w="5463" w:type="dxa"/>
            <w:tcBorders>
              <w:top w:val="nil"/>
              <w:left w:val="nil"/>
              <w:bottom w:val="nil"/>
              <w:right w:val="nil"/>
            </w:tcBorders>
            <w:shd w:val="clear" w:color="auto" w:fill="auto"/>
            <w:vAlign w:val="bottom"/>
            <w:hideMark/>
          </w:tcPr>
          <w:p w14:paraId="088837E5" w14:textId="77777777" w:rsidR="00EF1F17" w:rsidRPr="00C33193" w:rsidRDefault="00EF1F17" w:rsidP="000E5EFC">
            <w:pPr>
              <w:rPr>
                <w:rFonts w:ascii="Arial" w:eastAsia="Times New Roman" w:hAnsi="Arial" w:cs="Arial"/>
                <w:i/>
                <w:iCs/>
                <w:color w:val="000000"/>
                <w:lang w:val="en-GB"/>
              </w:rPr>
            </w:pPr>
            <w:r w:rsidRPr="00C33193">
              <w:rPr>
                <w:rFonts w:ascii="Arial" w:eastAsia="Times New Roman" w:hAnsi="Arial" w:cs="Arial"/>
                <w:i/>
                <w:iCs/>
                <w:color w:val="000000"/>
                <w:lang w:val="en-GB"/>
              </w:rPr>
              <w:t xml:space="preserve">   sexual harassment</w:t>
            </w:r>
          </w:p>
        </w:tc>
        <w:tc>
          <w:tcPr>
            <w:tcW w:w="2105" w:type="dxa"/>
            <w:tcBorders>
              <w:top w:val="nil"/>
              <w:left w:val="single" w:sz="4" w:space="0" w:color="auto"/>
              <w:bottom w:val="nil"/>
              <w:right w:val="nil"/>
            </w:tcBorders>
            <w:shd w:val="clear" w:color="auto" w:fill="auto"/>
            <w:vAlign w:val="bottom"/>
            <w:hideMark/>
          </w:tcPr>
          <w:p w14:paraId="6CD50E6D"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3.57 (1.97)</w:t>
            </w:r>
          </w:p>
        </w:tc>
        <w:tc>
          <w:tcPr>
            <w:tcW w:w="2192" w:type="dxa"/>
            <w:tcBorders>
              <w:top w:val="nil"/>
              <w:left w:val="nil"/>
              <w:bottom w:val="nil"/>
              <w:right w:val="nil"/>
            </w:tcBorders>
            <w:shd w:val="clear" w:color="auto" w:fill="auto"/>
            <w:vAlign w:val="bottom"/>
            <w:hideMark/>
          </w:tcPr>
          <w:p w14:paraId="44975B51"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0.05 (0.31)</w:t>
            </w:r>
          </w:p>
        </w:tc>
        <w:tc>
          <w:tcPr>
            <w:tcW w:w="1165" w:type="dxa"/>
            <w:tcBorders>
              <w:top w:val="nil"/>
              <w:left w:val="nil"/>
              <w:bottom w:val="nil"/>
              <w:right w:val="single" w:sz="4" w:space="0" w:color="auto"/>
            </w:tcBorders>
            <w:shd w:val="clear" w:color="auto" w:fill="auto"/>
            <w:vAlign w:val="bottom"/>
            <w:hideMark/>
          </w:tcPr>
          <w:p w14:paraId="7D9705AB"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&lt;0.001*</w:t>
            </w:r>
          </w:p>
        </w:tc>
        <w:tc>
          <w:tcPr>
            <w:tcW w:w="1420" w:type="dxa"/>
            <w:tcBorders>
              <w:top w:val="nil"/>
              <w:left w:val="nil"/>
              <w:bottom w:val="nil"/>
              <w:right w:val="nil"/>
            </w:tcBorders>
            <w:shd w:val="clear" w:color="auto" w:fill="auto"/>
            <w:noWrap/>
            <w:vAlign w:val="bottom"/>
            <w:hideMark/>
          </w:tcPr>
          <w:p w14:paraId="25C169C2" w14:textId="77777777" w:rsidR="00EF1F17" w:rsidRPr="00C33193" w:rsidRDefault="00EF1F17" w:rsidP="000E5EFC">
            <w:pPr>
              <w:rPr>
                <w:rFonts w:ascii="Arial" w:eastAsia="Times New Roman" w:hAnsi="Arial" w:cs="Arial"/>
                <w:color w:val="000000"/>
                <w:lang w:val="en-GB"/>
              </w:rPr>
            </w:pPr>
          </w:p>
        </w:tc>
      </w:tr>
      <w:tr w:rsidR="00EF1F17" w:rsidRPr="00C33193" w14:paraId="57487934" w14:textId="77777777" w:rsidTr="000E5EFC">
        <w:trPr>
          <w:trHeight w:val="340"/>
        </w:trPr>
        <w:tc>
          <w:tcPr>
            <w:tcW w:w="115" w:type="dxa"/>
            <w:tcBorders>
              <w:top w:val="nil"/>
              <w:left w:val="single" w:sz="4" w:space="0" w:color="auto"/>
              <w:bottom w:val="nil"/>
              <w:right w:val="nil"/>
            </w:tcBorders>
            <w:shd w:val="clear" w:color="auto" w:fill="auto"/>
            <w:noWrap/>
            <w:vAlign w:val="bottom"/>
            <w:hideMark/>
          </w:tcPr>
          <w:p w14:paraId="758BC6D3" w14:textId="77777777" w:rsidR="00EF1F17" w:rsidRPr="00C33193" w:rsidRDefault="00EF1F17" w:rsidP="000E5EFC">
            <w:pPr>
              <w:rPr>
                <w:rFonts w:ascii="Arial" w:eastAsia="Times New Roman" w:hAnsi="Arial" w:cs="Arial"/>
                <w:color w:val="000000"/>
                <w:lang w:val="en-GB"/>
              </w:rPr>
            </w:pPr>
            <w:r w:rsidRPr="00C33193">
              <w:rPr>
                <w:rFonts w:ascii="Arial" w:eastAsia="Times New Roman" w:hAnsi="Arial" w:cs="Arial"/>
                <w:color w:val="000000"/>
                <w:lang w:val="en-GB"/>
              </w:rPr>
              <w:t> </w:t>
            </w:r>
          </w:p>
        </w:tc>
        <w:tc>
          <w:tcPr>
            <w:tcW w:w="5463" w:type="dxa"/>
            <w:tcBorders>
              <w:top w:val="nil"/>
              <w:left w:val="nil"/>
              <w:bottom w:val="nil"/>
              <w:right w:val="nil"/>
            </w:tcBorders>
            <w:shd w:val="clear" w:color="auto" w:fill="auto"/>
            <w:vAlign w:val="bottom"/>
            <w:hideMark/>
          </w:tcPr>
          <w:p w14:paraId="0E577987" w14:textId="77777777" w:rsidR="00EF1F17" w:rsidRPr="00C33193" w:rsidRDefault="00EF1F17" w:rsidP="000E5EFC">
            <w:pPr>
              <w:rPr>
                <w:rFonts w:ascii="Arial" w:eastAsia="Times New Roman" w:hAnsi="Arial" w:cs="Arial"/>
                <w:i/>
                <w:iCs/>
                <w:color w:val="000000"/>
                <w:lang w:val="en-GB"/>
              </w:rPr>
            </w:pPr>
            <w:r w:rsidRPr="00C33193">
              <w:rPr>
                <w:rFonts w:ascii="Arial" w:eastAsia="Times New Roman" w:hAnsi="Arial" w:cs="Arial"/>
                <w:i/>
                <w:iCs/>
                <w:color w:val="000000"/>
                <w:lang w:val="en-GB"/>
              </w:rPr>
              <w:t xml:space="preserve">   sexual abuse</w:t>
            </w:r>
          </w:p>
        </w:tc>
        <w:tc>
          <w:tcPr>
            <w:tcW w:w="2105" w:type="dxa"/>
            <w:tcBorders>
              <w:top w:val="nil"/>
              <w:left w:val="single" w:sz="4" w:space="0" w:color="auto"/>
              <w:bottom w:val="nil"/>
              <w:right w:val="nil"/>
            </w:tcBorders>
            <w:shd w:val="clear" w:color="auto" w:fill="auto"/>
            <w:vAlign w:val="bottom"/>
            <w:hideMark/>
          </w:tcPr>
          <w:p w14:paraId="4CDDE0AC"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4.36 (1.57)</w:t>
            </w:r>
          </w:p>
        </w:tc>
        <w:tc>
          <w:tcPr>
            <w:tcW w:w="2192" w:type="dxa"/>
            <w:tcBorders>
              <w:top w:val="nil"/>
              <w:left w:val="nil"/>
              <w:bottom w:val="nil"/>
              <w:right w:val="nil"/>
            </w:tcBorders>
            <w:shd w:val="clear" w:color="auto" w:fill="auto"/>
            <w:vAlign w:val="bottom"/>
            <w:hideMark/>
          </w:tcPr>
          <w:p w14:paraId="7700FBE6"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0.00 (0.00)</w:t>
            </w:r>
          </w:p>
        </w:tc>
        <w:tc>
          <w:tcPr>
            <w:tcW w:w="1165" w:type="dxa"/>
            <w:tcBorders>
              <w:top w:val="nil"/>
              <w:left w:val="nil"/>
              <w:bottom w:val="nil"/>
              <w:right w:val="single" w:sz="4" w:space="0" w:color="auto"/>
            </w:tcBorders>
            <w:shd w:val="clear" w:color="auto" w:fill="auto"/>
            <w:vAlign w:val="bottom"/>
            <w:hideMark/>
          </w:tcPr>
          <w:p w14:paraId="7BCCA973"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&lt;0.001*</w:t>
            </w:r>
          </w:p>
        </w:tc>
        <w:tc>
          <w:tcPr>
            <w:tcW w:w="1420" w:type="dxa"/>
            <w:tcBorders>
              <w:top w:val="nil"/>
              <w:left w:val="nil"/>
              <w:bottom w:val="nil"/>
              <w:right w:val="nil"/>
            </w:tcBorders>
            <w:shd w:val="clear" w:color="auto" w:fill="auto"/>
            <w:noWrap/>
            <w:vAlign w:val="bottom"/>
            <w:hideMark/>
          </w:tcPr>
          <w:p w14:paraId="758DAD91" w14:textId="77777777" w:rsidR="00EF1F17" w:rsidRPr="00C33193" w:rsidRDefault="00EF1F17" w:rsidP="000E5EFC">
            <w:pPr>
              <w:rPr>
                <w:rFonts w:ascii="Arial" w:eastAsia="Times New Roman" w:hAnsi="Arial" w:cs="Arial"/>
                <w:color w:val="000000"/>
                <w:lang w:val="en-GB"/>
              </w:rPr>
            </w:pPr>
          </w:p>
        </w:tc>
      </w:tr>
      <w:tr w:rsidR="00EF1F17" w:rsidRPr="00C33193" w14:paraId="7B4F058A" w14:textId="77777777" w:rsidTr="000E5EFC">
        <w:trPr>
          <w:trHeight w:val="340"/>
        </w:trPr>
        <w:tc>
          <w:tcPr>
            <w:tcW w:w="115" w:type="dxa"/>
            <w:tcBorders>
              <w:top w:val="nil"/>
              <w:left w:val="single" w:sz="4" w:space="0" w:color="auto"/>
              <w:bottom w:val="nil"/>
              <w:right w:val="nil"/>
            </w:tcBorders>
            <w:shd w:val="clear" w:color="auto" w:fill="auto"/>
            <w:noWrap/>
            <w:vAlign w:val="bottom"/>
            <w:hideMark/>
          </w:tcPr>
          <w:p w14:paraId="125E9E87" w14:textId="77777777" w:rsidR="00EF1F17" w:rsidRPr="00C33193" w:rsidRDefault="00EF1F17" w:rsidP="000E5EFC">
            <w:pPr>
              <w:rPr>
                <w:rFonts w:ascii="Arial" w:eastAsia="Times New Roman" w:hAnsi="Arial" w:cs="Arial"/>
                <w:color w:val="000000"/>
                <w:lang w:val="en-GB"/>
              </w:rPr>
            </w:pPr>
            <w:r w:rsidRPr="00C33193">
              <w:rPr>
                <w:rFonts w:ascii="Arial" w:eastAsia="Times New Roman" w:hAnsi="Arial" w:cs="Arial"/>
                <w:color w:val="000000"/>
                <w:lang w:val="en-GB"/>
              </w:rPr>
              <w:t> </w:t>
            </w:r>
          </w:p>
        </w:tc>
        <w:tc>
          <w:tcPr>
            <w:tcW w:w="5463" w:type="dxa"/>
            <w:tcBorders>
              <w:top w:val="nil"/>
              <w:left w:val="nil"/>
              <w:bottom w:val="nil"/>
              <w:right w:val="nil"/>
            </w:tcBorders>
            <w:shd w:val="clear" w:color="auto" w:fill="auto"/>
            <w:vAlign w:val="bottom"/>
            <w:hideMark/>
          </w:tcPr>
          <w:p w14:paraId="52F46454" w14:textId="77777777" w:rsidR="00EF1F17" w:rsidRPr="00C33193" w:rsidRDefault="00EF1F17" w:rsidP="000E5EFC">
            <w:pPr>
              <w:rPr>
                <w:rFonts w:ascii="Arial" w:eastAsia="Times New Roman" w:hAnsi="Arial" w:cs="Arial"/>
                <w:b/>
                <w:bCs/>
                <w:color w:val="000000"/>
                <w:lang w:val="en-GB"/>
              </w:rPr>
            </w:pPr>
            <w:r w:rsidRPr="00C33193">
              <w:rPr>
                <w:rFonts w:ascii="Arial" w:eastAsia="Times New Roman" w:hAnsi="Arial" w:cs="Arial"/>
                <w:b/>
                <w:bCs/>
                <w:color w:val="000000"/>
                <w:lang w:val="en-GB"/>
              </w:rPr>
              <w:t>TEC: 7 - 12 years^^</w:t>
            </w:r>
          </w:p>
        </w:tc>
        <w:tc>
          <w:tcPr>
            <w:tcW w:w="2105" w:type="dxa"/>
            <w:tcBorders>
              <w:top w:val="nil"/>
              <w:left w:val="single" w:sz="4" w:space="0" w:color="auto"/>
              <w:bottom w:val="nil"/>
              <w:right w:val="nil"/>
            </w:tcBorders>
            <w:shd w:val="clear" w:color="auto" w:fill="auto"/>
            <w:vAlign w:val="bottom"/>
            <w:hideMark/>
          </w:tcPr>
          <w:p w14:paraId="04B9C8B4" w14:textId="77777777" w:rsidR="00EF1F17" w:rsidRPr="00C33193" w:rsidRDefault="00EF1F17" w:rsidP="000E5EFC">
            <w:pPr>
              <w:rPr>
                <w:rFonts w:ascii="Arial" w:eastAsia="Times New Roman" w:hAnsi="Arial" w:cs="Arial"/>
                <w:b/>
                <w:bCs/>
                <w:color w:val="000000"/>
                <w:lang w:val="en-GB"/>
              </w:rPr>
            </w:pPr>
            <w:r w:rsidRPr="00C33193">
              <w:rPr>
                <w:rFonts w:ascii="Arial" w:eastAsia="Times New Roman" w:hAnsi="Arial" w:cs="Arial"/>
                <w:b/>
                <w:bCs/>
                <w:color w:val="000000"/>
                <w:lang w:val="en-GB"/>
              </w:rPr>
              <w:t> </w:t>
            </w:r>
          </w:p>
        </w:tc>
        <w:tc>
          <w:tcPr>
            <w:tcW w:w="2192" w:type="dxa"/>
            <w:tcBorders>
              <w:top w:val="nil"/>
              <w:left w:val="nil"/>
              <w:bottom w:val="nil"/>
              <w:right w:val="nil"/>
            </w:tcBorders>
            <w:shd w:val="clear" w:color="auto" w:fill="auto"/>
            <w:vAlign w:val="bottom"/>
            <w:hideMark/>
          </w:tcPr>
          <w:p w14:paraId="6655613A" w14:textId="77777777" w:rsidR="00EF1F17" w:rsidRPr="00C33193" w:rsidRDefault="00EF1F17" w:rsidP="000E5EFC">
            <w:pPr>
              <w:jc w:val="center"/>
              <w:rPr>
                <w:rFonts w:ascii="Arial" w:eastAsia="Times New Roman" w:hAnsi="Arial" w:cs="Arial"/>
                <w:color w:val="000000"/>
                <w:lang w:val="en-GB"/>
              </w:rPr>
            </w:pPr>
          </w:p>
        </w:tc>
        <w:tc>
          <w:tcPr>
            <w:tcW w:w="1165" w:type="dxa"/>
            <w:tcBorders>
              <w:top w:val="nil"/>
              <w:left w:val="nil"/>
              <w:bottom w:val="nil"/>
              <w:right w:val="single" w:sz="4" w:space="0" w:color="auto"/>
            </w:tcBorders>
            <w:shd w:val="clear" w:color="auto" w:fill="auto"/>
            <w:vAlign w:val="bottom"/>
            <w:hideMark/>
          </w:tcPr>
          <w:p w14:paraId="747FE4FB"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 </w:t>
            </w:r>
          </w:p>
        </w:tc>
        <w:tc>
          <w:tcPr>
            <w:tcW w:w="1420" w:type="dxa"/>
            <w:tcBorders>
              <w:top w:val="nil"/>
              <w:left w:val="nil"/>
              <w:bottom w:val="nil"/>
              <w:right w:val="nil"/>
            </w:tcBorders>
            <w:shd w:val="clear" w:color="auto" w:fill="auto"/>
            <w:noWrap/>
            <w:vAlign w:val="bottom"/>
            <w:hideMark/>
          </w:tcPr>
          <w:p w14:paraId="69805523" w14:textId="77777777" w:rsidR="00EF1F17" w:rsidRPr="00C33193" w:rsidRDefault="00EF1F17" w:rsidP="000E5EFC">
            <w:pPr>
              <w:rPr>
                <w:rFonts w:ascii="Arial" w:eastAsia="Times New Roman" w:hAnsi="Arial" w:cs="Arial"/>
                <w:color w:val="000000"/>
                <w:lang w:val="en-GB"/>
              </w:rPr>
            </w:pPr>
          </w:p>
        </w:tc>
      </w:tr>
      <w:tr w:rsidR="00EF1F17" w:rsidRPr="00C33193" w14:paraId="560611A3" w14:textId="77777777" w:rsidTr="000E5EFC">
        <w:trPr>
          <w:trHeight w:val="340"/>
        </w:trPr>
        <w:tc>
          <w:tcPr>
            <w:tcW w:w="115" w:type="dxa"/>
            <w:tcBorders>
              <w:top w:val="nil"/>
              <w:left w:val="single" w:sz="4" w:space="0" w:color="auto"/>
              <w:bottom w:val="nil"/>
              <w:right w:val="nil"/>
            </w:tcBorders>
            <w:shd w:val="clear" w:color="auto" w:fill="auto"/>
            <w:noWrap/>
            <w:vAlign w:val="bottom"/>
            <w:hideMark/>
          </w:tcPr>
          <w:p w14:paraId="21947991" w14:textId="77777777" w:rsidR="00EF1F17" w:rsidRPr="00C33193" w:rsidRDefault="00EF1F17" w:rsidP="000E5EFC">
            <w:pPr>
              <w:rPr>
                <w:rFonts w:ascii="Arial" w:eastAsia="Times New Roman" w:hAnsi="Arial" w:cs="Arial"/>
                <w:color w:val="000000"/>
                <w:lang w:val="en-GB"/>
              </w:rPr>
            </w:pPr>
            <w:r w:rsidRPr="00C33193">
              <w:rPr>
                <w:rFonts w:ascii="Arial" w:eastAsia="Times New Roman" w:hAnsi="Arial" w:cs="Arial"/>
                <w:color w:val="000000"/>
                <w:lang w:val="en-GB"/>
              </w:rPr>
              <w:t> </w:t>
            </w:r>
          </w:p>
        </w:tc>
        <w:tc>
          <w:tcPr>
            <w:tcW w:w="5463" w:type="dxa"/>
            <w:tcBorders>
              <w:top w:val="nil"/>
              <w:left w:val="nil"/>
              <w:bottom w:val="nil"/>
              <w:right w:val="nil"/>
            </w:tcBorders>
            <w:shd w:val="clear" w:color="auto" w:fill="auto"/>
            <w:vAlign w:val="bottom"/>
            <w:hideMark/>
          </w:tcPr>
          <w:p w14:paraId="58088205" w14:textId="77777777" w:rsidR="00EF1F17" w:rsidRPr="00C33193" w:rsidRDefault="00EF1F17" w:rsidP="000E5EFC">
            <w:pPr>
              <w:rPr>
                <w:rFonts w:ascii="Arial" w:eastAsia="Times New Roman" w:hAnsi="Arial" w:cs="Arial"/>
                <w:i/>
                <w:iCs/>
                <w:color w:val="000000"/>
                <w:lang w:val="en-GB"/>
              </w:rPr>
            </w:pPr>
            <w:r w:rsidRPr="00C33193">
              <w:rPr>
                <w:rFonts w:ascii="Arial" w:eastAsia="Times New Roman" w:hAnsi="Arial" w:cs="Arial"/>
                <w:i/>
                <w:iCs/>
                <w:color w:val="000000"/>
                <w:lang w:val="en-GB"/>
              </w:rPr>
              <w:t xml:space="preserve">   emotional neglect</w:t>
            </w:r>
          </w:p>
        </w:tc>
        <w:tc>
          <w:tcPr>
            <w:tcW w:w="2105" w:type="dxa"/>
            <w:tcBorders>
              <w:top w:val="nil"/>
              <w:left w:val="single" w:sz="4" w:space="0" w:color="auto"/>
              <w:bottom w:val="nil"/>
              <w:right w:val="nil"/>
            </w:tcBorders>
            <w:shd w:val="clear" w:color="auto" w:fill="auto"/>
            <w:vAlign w:val="bottom"/>
            <w:hideMark/>
          </w:tcPr>
          <w:p w14:paraId="5970EB8E"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4.00 (0.00)</w:t>
            </w:r>
          </w:p>
        </w:tc>
        <w:tc>
          <w:tcPr>
            <w:tcW w:w="2192" w:type="dxa"/>
            <w:tcBorders>
              <w:top w:val="nil"/>
              <w:left w:val="nil"/>
              <w:bottom w:val="nil"/>
              <w:right w:val="nil"/>
            </w:tcBorders>
            <w:shd w:val="clear" w:color="auto" w:fill="auto"/>
            <w:vAlign w:val="bottom"/>
            <w:hideMark/>
          </w:tcPr>
          <w:p w14:paraId="5C099C72"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1.02 (1.61)</w:t>
            </w:r>
          </w:p>
        </w:tc>
        <w:tc>
          <w:tcPr>
            <w:tcW w:w="1165" w:type="dxa"/>
            <w:tcBorders>
              <w:top w:val="nil"/>
              <w:left w:val="nil"/>
              <w:bottom w:val="nil"/>
              <w:right w:val="single" w:sz="4" w:space="0" w:color="auto"/>
            </w:tcBorders>
            <w:shd w:val="clear" w:color="auto" w:fill="auto"/>
            <w:vAlign w:val="bottom"/>
            <w:hideMark/>
          </w:tcPr>
          <w:p w14:paraId="77C3B6E6"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&lt;0.001*</w:t>
            </w:r>
          </w:p>
        </w:tc>
        <w:tc>
          <w:tcPr>
            <w:tcW w:w="1420" w:type="dxa"/>
            <w:tcBorders>
              <w:top w:val="nil"/>
              <w:left w:val="nil"/>
              <w:bottom w:val="nil"/>
              <w:right w:val="nil"/>
            </w:tcBorders>
            <w:shd w:val="clear" w:color="auto" w:fill="auto"/>
            <w:noWrap/>
            <w:vAlign w:val="bottom"/>
            <w:hideMark/>
          </w:tcPr>
          <w:p w14:paraId="2A4C8E91" w14:textId="77777777" w:rsidR="00EF1F17" w:rsidRPr="00C33193" w:rsidRDefault="00EF1F17" w:rsidP="000E5EFC">
            <w:pPr>
              <w:rPr>
                <w:rFonts w:ascii="Arial" w:eastAsia="Times New Roman" w:hAnsi="Arial" w:cs="Arial"/>
                <w:color w:val="000000"/>
                <w:lang w:val="en-GB"/>
              </w:rPr>
            </w:pPr>
          </w:p>
        </w:tc>
      </w:tr>
      <w:tr w:rsidR="00EF1F17" w:rsidRPr="00C33193" w14:paraId="5D3C23C3" w14:textId="77777777" w:rsidTr="000E5EFC">
        <w:trPr>
          <w:trHeight w:val="340"/>
        </w:trPr>
        <w:tc>
          <w:tcPr>
            <w:tcW w:w="115" w:type="dxa"/>
            <w:tcBorders>
              <w:top w:val="nil"/>
              <w:left w:val="single" w:sz="4" w:space="0" w:color="auto"/>
              <w:bottom w:val="nil"/>
              <w:right w:val="nil"/>
            </w:tcBorders>
            <w:shd w:val="clear" w:color="auto" w:fill="auto"/>
            <w:noWrap/>
            <w:vAlign w:val="bottom"/>
            <w:hideMark/>
          </w:tcPr>
          <w:p w14:paraId="41DF8690" w14:textId="77777777" w:rsidR="00EF1F17" w:rsidRPr="00C33193" w:rsidRDefault="00EF1F17" w:rsidP="000E5EFC">
            <w:pPr>
              <w:rPr>
                <w:rFonts w:ascii="Arial" w:eastAsia="Times New Roman" w:hAnsi="Arial" w:cs="Arial"/>
                <w:color w:val="000000"/>
                <w:lang w:val="en-GB"/>
              </w:rPr>
            </w:pPr>
            <w:r w:rsidRPr="00C33193">
              <w:rPr>
                <w:rFonts w:ascii="Arial" w:eastAsia="Times New Roman" w:hAnsi="Arial" w:cs="Arial"/>
                <w:color w:val="000000"/>
                <w:lang w:val="en-GB"/>
              </w:rPr>
              <w:t> </w:t>
            </w:r>
          </w:p>
        </w:tc>
        <w:tc>
          <w:tcPr>
            <w:tcW w:w="5463" w:type="dxa"/>
            <w:tcBorders>
              <w:top w:val="nil"/>
              <w:left w:val="nil"/>
              <w:bottom w:val="nil"/>
              <w:right w:val="nil"/>
            </w:tcBorders>
            <w:shd w:val="clear" w:color="auto" w:fill="auto"/>
            <w:vAlign w:val="bottom"/>
            <w:hideMark/>
          </w:tcPr>
          <w:p w14:paraId="373A0ED1" w14:textId="77777777" w:rsidR="00EF1F17" w:rsidRPr="00C33193" w:rsidRDefault="00EF1F17" w:rsidP="000E5EFC">
            <w:pPr>
              <w:rPr>
                <w:rFonts w:ascii="Arial" w:eastAsia="Times New Roman" w:hAnsi="Arial" w:cs="Arial"/>
                <w:i/>
                <w:iCs/>
                <w:color w:val="000000"/>
                <w:lang w:val="en-GB"/>
              </w:rPr>
            </w:pPr>
            <w:r w:rsidRPr="00C33193">
              <w:rPr>
                <w:rFonts w:ascii="Arial" w:eastAsia="Times New Roman" w:hAnsi="Arial" w:cs="Arial"/>
                <w:i/>
                <w:iCs/>
                <w:color w:val="000000"/>
                <w:lang w:val="en-GB"/>
              </w:rPr>
              <w:t xml:space="preserve">   emotional abuse</w:t>
            </w:r>
          </w:p>
        </w:tc>
        <w:tc>
          <w:tcPr>
            <w:tcW w:w="2105" w:type="dxa"/>
            <w:tcBorders>
              <w:top w:val="nil"/>
              <w:left w:val="single" w:sz="4" w:space="0" w:color="auto"/>
              <w:bottom w:val="nil"/>
              <w:right w:val="nil"/>
            </w:tcBorders>
            <w:shd w:val="clear" w:color="auto" w:fill="auto"/>
            <w:vAlign w:val="bottom"/>
            <w:hideMark/>
          </w:tcPr>
          <w:p w14:paraId="49572CDC"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3.79 (0.79)</w:t>
            </w:r>
          </w:p>
        </w:tc>
        <w:tc>
          <w:tcPr>
            <w:tcW w:w="2192" w:type="dxa"/>
            <w:tcBorders>
              <w:top w:val="nil"/>
              <w:left w:val="nil"/>
              <w:bottom w:val="nil"/>
              <w:right w:val="nil"/>
            </w:tcBorders>
            <w:shd w:val="clear" w:color="auto" w:fill="auto"/>
            <w:vAlign w:val="bottom"/>
            <w:hideMark/>
          </w:tcPr>
          <w:p w14:paraId="3060D1F5"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0.65 (1.41)</w:t>
            </w:r>
          </w:p>
        </w:tc>
        <w:tc>
          <w:tcPr>
            <w:tcW w:w="1165" w:type="dxa"/>
            <w:tcBorders>
              <w:top w:val="nil"/>
              <w:left w:val="nil"/>
              <w:bottom w:val="nil"/>
              <w:right w:val="single" w:sz="4" w:space="0" w:color="auto"/>
            </w:tcBorders>
            <w:shd w:val="clear" w:color="auto" w:fill="auto"/>
            <w:vAlign w:val="bottom"/>
            <w:hideMark/>
          </w:tcPr>
          <w:p w14:paraId="0D637C46"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&lt;0.001*</w:t>
            </w:r>
          </w:p>
        </w:tc>
        <w:tc>
          <w:tcPr>
            <w:tcW w:w="1420" w:type="dxa"/>
            <w:tcBorders>
              <w:top w:val="nil"/>
              <w:left w:val="nil"/>
              <w:bottom w:val="nil"/>
              <w:right w:val="nil"/>
            </w:tcBorders>
            <w:shd w:val="clear" w:color="auto" w:fill="auto"/>
            <w:noWrap/>
            <w:vAlign w:val="bottom"/>
            <w:hideMark/>
          </w:tcPr>
          <w:p w14:paraId="3CA33BDB" w14:textId="77777777" w:rsidR="00EF1F17" w:rsidRPr="00C33193" w:rsidRDefault="00EF1F17" w:rsidP="000E5EFC">
            <w:pPr>
              <w:rPr>
                <w:rFonts w:ascii="Arial" w:eastAsia="Times New Roman" w:hAnsi="Arial" w:cs="Arial"/>
                <w:color w:val="000000"/>
                <w:lang w:val="en-GB"/>
              </w:rPr>
            </w:pPr>
          </w:p>
        </w:tc>
      </w:tr>
      <w:tr w:rsidR="00EF1F17" w:rsidRPr="00C33193" w14:paraId="3EF7915E" w14:textId="77777777" w:rsidTr="000E5EFC">
        <w:trPr>
          <w:trHeight w:val="340"/>
        </w:trPr>
        <w:tc>
          <w:tcPr>
            <w:tcW w:w="115" w:type="dxa"/>
            <w:tcBorders>
              <w:top w:val="nil"/>
              <w:left w:val="single" w:sz="4" w:space="0" w:color="auto"/>
              <w:bottom w:val="nil"/>
              <w:right w:val="nil"/>
            </w:tcBorders>
            <w:shd w:val="clear" w:color="auto" w:fill="auto"/>
            <w:noWrap/>
            <w:vAlign w:val="bottom"/>
            <w:hideMark/>
          </w:tcPr>
          <w:p w14:paraId="6734DC8F" w14:textId="77777777" w:rsidR="00EF1F17" w:rsidRPr="00C33193" w:rsidRDefault="00EF1F17" w:rsidP="000E5EFC">
            <w:pPr>
              <w:rPr>
                <w:rFonts w:ascii="Arial" w:eastAsia="Times New Roman" w:hAnsi="Arial" w:cs="Arial"/>
                <w:color w:val="000000"/>
                <w:lang w:val="en-GB"/>
              </w:rPr>
            </w:pPr>
            <w:r w:rsidRPr="00C33193">
              <w:rPr>
                <w:rFonts w:ascii="Arial" w:eastAsia="Times New Roman" w:hAnsi="Arial" w:cs="Arial"/>
                <w:color w:val="000000"/>
                <w:lang w:val="en-GB"/>
              </w:rPr>
              <w:t> </w:t>
            </w:r>
          </w:p>
        </w:tc>
        <w:tc>
          <w:tcPr>
            <w:tcW w:w="5463" w:type="dxa"/>
            <w:tcBorders>
              <w:top w:val="nil"/>
              <w:left w:val="nil"/>
              <w:bottom w:val="nil"/>
              <w:right w:val="nil"/>
            </w:tcBorders>
            <w:shd w:val="clear" w:color="auto" w:fill="auto"/>
            <w:vAlign w:val="bottom"/>
            <w:hideMark/>
          </w:tcPr>
          <w:p w14:paraId="71FE494A" w14:textId="77777777" w:rsidR="00EF1F17" w:rsidRPr="00C33193" w:rsidRDefault="00EF1F17" w:rsidP="000E5EFC">
            <w:pPr>
              <w:rPr>
                <w:rFonts w:ascii="Arial" w:eastAsia="Times New Roman" w:hAnsi="Arial" w:cs="Arial"/>
                <w:i/>
                <w:iCs/>
                <w:color w:val="000000"/>
                <w:lang w:val="en-GB"/>
              </w:rPr>
            </w:pPr>
            <w:r w:rsidRPr="00C33193">
              <w:rPr>
                <w:rFonts w:ascii="Arial" w:eastAsia="Times New Roman" w:hAnsi="Arial" w:cs="Arial"/>
                <w:i/>
                <w:iCs/>
                <w:color w:val="000000"/>
                <w:lang w:val="en-GB"/>
              </w:rPr>
              <w:t xml:space="preserve">   physical abuse</w:t>
            </w:r>
          </w:p>
        </w:tc>
        <w:tc>
          <w:tcPr>
            <w:tcW w:w="2105" w:type="dxa"/>
            <w:tcBorders>
              <w:top w:val="nil"/>
              <w:left w:val="single" w:sz="4" w:space="0" w:color="auto"/>
              <w:bottom w:val="nil"/>
              <w:right w:val="nil"/>
            </w:tcBorders>
            <w:shd w:val="clear" w:color="auto" w:fill="auto"/>
            <w:vAlign w:val="bottom"/>
            <w:hideMark/>
          </w:tcPr>
          <w:p w14:paraId="434E98F0"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3.82 (0.86)</w:t>
            </w:r>
          </w:p>
        </w:tc>
        <w:tc>
          <w:tcPr>
            <w:tcW w:w="2192" w:type="dxa"/>
            <w:tcBorders>
              <w:top w:val="nil"/>
              <w:left w:val="nil"/>
              <w:bottom w:val="nil"/>
              <w:right w:val="nil"/>
            </w:tcBorders>
            <w:shd w:val="clear" w:color="auto" w:fill="auto"/>
            <w:vAlign w:val="bottom"/>
            <w:hideMark/>
          </w:tcPr>
          <w:p w14:paraId="394E0F2C"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0.42 (1.18)</w:t>
            </w:r>
          </w:p>
        </w:tc>
        <w:tc>
          <w:tcPr>
            <w:tcW w:w="1165" w:type="dxa"/>
            <w:tcBorders>
              <w:top w:val="nil"/>
              <w:left w:val="nil"/>
              <w:bottom w:val="nil"/>
              <w:right w:val="single" w:sz="4" w:space="0" w:color="auto"/>
            </w:tcBorders>
            <w:shd w:val="clear" w:color="auto" w:fill="auto"/>
            <w:vAlign w:val="bottom"/>
            <w:hideMark/>
          </w:tcPr>
          <w:p w14:paraId="02A8D89D"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&lt;0.001*</w:t>
            </w:r>
          </w:p>
        </w:tc>
        <w:tc>
          <w:tcPr>
            <w:tcW w:w="1420" w:type="dxa"/>
            <w:tcBorders>
              <w:top w:val="nil"/>
              <w:left w:val="nil"/>
              <w:bottom w:val="nil"/>
              <w:right w:val="nil"/>
            </w:tcBorders>
            <w:shd w:val="clear" w:color="auto" w:fill="auto"/>
            <w:noWrap/>
            <w:vAlign w:val="bottom"/>
            <w:hideMark/>
          </w:tcPr>
          <w:p w14:paraId="228AB968" w14:textId="77777777" w:rsidR="00EF1F17" w:rsidRPr="00C33193" w:rsidRDefault="00EF1F17" w:rsidP="000E5EFC">
            <w:pPr>
              <w:rPr>
                <w:rFonts w:ascii="Arial" w:eastAsia="Times New Roman" w:hAnsi="Arial" w:cs="Arial"/>
                <w:color w:val="000000"/>
                <w:lang w:val="en-GB"/>
              </w:rPr>
            </w:pPr>
          </w:p>
        </w:tc>
      </w:tr>
      <w:tr w:rsidR="00EF1F17" w:rsidRPr="00C33193" w14:paraId="75B395A0" w14:textId="77777777" w:rsidTr="000E5EFC">
        <w:trPr>
          <w:trHeight w:val="340"/>
        </w:trPr>
        <w:tc>
          <w:tcPr>
            <w:tcW w:w="115" w:type="dxa"/>
            <w:tcBorders>
              <w:top w:val="nil"/>
              <w:left w:val="single" w:sz="4" w:space="0" w:color="auto"/>
              <w:bottom w:val="nil"/>
              <w:right w:val="nil"/>
            </w:tcBorders>
            <w:shd w:val="clear" w:color="auto" w:fill="auto"/>
            <w:noWrap/>
            <w:vAlign w:val="bottom"/>
            <w:hideMark/>
          </w:tcPr>
          <w:p w14:paraId="3A9091AD" w14:textId="77777777" w:rsidR="00EF1F17" w:rsidRPr="00C33193" w:rsidRDefault="00EF1F17" w:rsidP="000E5EFC">
            <w:pPr>
              <w:rPr>
                <w:rFonts w:ascii="Arial" w:eastAsia="Times New Roman" w:hAnsi="Arial" w:cs="Arial"/>
                <w:color w:val="000000"/>
                <w:lang w:val="en-GB"/>
              </w:rPr>
            </w:pPr>
            <w:r w:rsidRPr="00C33193">
              <w:rPr>
                <w:rFonts w:ascii="Arial" w:eastAsia="Times New Roman" w:hAnsi="Arial" w:cs="Arial"/>
                <w:color w:val="000000"/>
                <w:lang w:val="en-GB"/>
              </w:rPr>
              <w:t> </w:t>
            </w:r>
          </w:p>
        </w:tc>
        <w:tc>
          <w:tcPr>
            <w:tcW w:w="5463" w:type="dxa"/>
            <w:tcBorders>
              <w:top w:val="nil"/>
              <w:left w:val="nil"/>
              <w:bottom w:val="nil"/>
              <w:right w:val="nil"/>
            </w:tcBorders>
            <w:shd w:val="clear" w:color="auto" w:fill="auto"/>
            <w:vAlign w:val="bottom"/>
            <w:hideMark/>
          </w:tcPr>
          <w:p w14:paraId="57315B1C" w14:textId="77777777" w:rsidR="00EF1F17" w:rsidRPr="00C33193" w:rsidRDefault="00EF1F17" w:rsidP="000E5EFC">
            <w:pPr>
              <w:rPr>
                <w:rFonts w:ascii="Arial" w:eastAsia="Times New Roman" w:hAnsi="Arial" w:cs="Arial"/>
                <w:i/>
                <w:iCs/>
                <w:color w:val="000000"/>
                <w:lang w:val="en-GB"/>
              </w:rPr>
            </w:pPr>
            <w:r w:rsidRPr="00C33193">
              <w:rPr>
                <w:rFonts w:ascii="Arial" w:eastAsia="Times New Roman" w:hAnsi="Arial" w:cs="Arial"/>
                <w:i/>
                <w:iCs/>
                <w:color w:val="000000"/>
                <w:lang w:val="en-GB"/>
              </w:rPr>
              <w:t xml:space="preserve">   sexual harassment</w:t>
            </w:r>
          </w:p>
        </w:tc>
        <w:tc>
          <w:tcPr>
            <w:tcW w:w="2105" w:type="dxa"/>
            <w:tcBorders>
              <w:top w:val="nil"/>
              <w:left w:val="single" w:sz="4" w:space="0" w:color="auto"/>
              <w:bottom w:val="nil"/>
              <w:right w:val="nil"/>
            </w:tcBorders>
            <w:shd w:val="clear" w:color="auto" w:fill="auto"/>
            <w:vAlign w:val="bottom"/>
            <w:hideMark/>
          </w:tcPr>
          <w:p w14:paraId="1B812308"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2.79 (1.57)</w:t>
            </w:r>
          </w:p>
        </w:tc>
        <w:tc>
          <w:tcPr>
            <w:tcW w:w="2192" w:type="dxa"/>
            <w:tcBorders>
              <w:top w:val="nil"/>
              <w:left w:val="nil"/>
              <w:bottom w:val="nil"/>
              <w:right w:val="nil"/>
            </w:tcBorders>
            <w:shd w:val="clear" w:color="auto" w:fill="auto"/>
            <w:vAlign w:val="bottom"/>
            <w:hideMark/>
          </w:tcPr>
          <w:p w14:paraId="4429A5ED"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0.19 (0.76)</w:t>
            </w:r>
          </w:p>
        </w:tc>
        <w:tc>
          <w:tcPr>
            <w:tcW w:w="1165" w:type="dxa"/>
            <w:tcBorders>
              <w:top w:val="nil"/>
              <w:left w:val="nil"/>
              <w:bottom w:val="nil"/>
              <w:right w:val="single" w:sz="4" w:space="0" w:color="auto"/>
            </w:tcBorders>
            <w:shd w:val="clear" w:color="auto" w:fill="auto"/>
            <w:vAlign w:val="bottom"/>
            <w:hideMark/>
          </w:tcPr>
          <w:p w14:paraId="0CCF3B89"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&lt;0.001*</w:t>
            </w:r>
          </w:p>
        </w:tc>
        <w:tc>
          <w:tcPr>
            <w:tcW w:w="1420" w:type="dxa"/>
            <w:tcBorders>
              <w:top w:val="nil"/>
              <w:left w:val="nil"/>
              <w:bottom w:val="nil"/>
              <w:right w:val="nil"/>
            </w:tcBorders>
            <w:shd w:val="clear" w:color="auto" w:fill="auto"/>
            <w:noWrap/>
            <w:vAlign w:val="bottom"/>
            <w:hideMark/>
          </w:tcPr>
          <w:p w14:paraId="052BA05C" w14:textId="77777777" w:rsidR="00EF1F17" w:rsidRPr="00C33193" w:rsidRDefault="00EF1F17" w:rsidP="000E5EFC">
            <w:pPr>
              <w:rPr>
                <w:rFonts w:ascii="Arial" w:eastAsia="Times New Roman" w:hAnsi="Arial" w:cs="Arial"/>
                <w:color w:val="000000"/>
                <w:lang w:val="en-GB"/>
              </w:rPr>
            </w:pPr>
          </w:p>
        </w:tc>
      </w:tr>
      <w:tr w:rsidR="00EF1F17" w:rsidRPr="00C33193" w14:paraId="0F8CC3A4" w14:textId="77777777" w:rsidTr="000E5EFC">
        <w:trPr>
          <w:trHeight w:val="340"/>
        </w:trPr>
        <w:tc>
          <w:tcPr>
            <w:tcW w:w="115" w:type="dxa"/>
            <w:tcBorders>
              <w:top w:val="nil"/>
              <w:left w:val="single" w:sz="4" w:space="0" w:color="auto"/>
              <w:bottom w:val="nil"/>
              <w:right w:val="nil"/>
            </w:tcBorders>
            <w:shd w:val="clear" w:color="auto" w:fill="auto"/>
            <w:noWrap/>
            <w:vAlign w:val="bottom"/>
            <w:hideMark/>
          </w:tcPr>
          <w:p w14:paraId="058021C6" w14:textId="77777777" w:rsidR="00EF1F17" w:rsidRPr="00C33193" w:rsidRDefault="00EF1F17" w:rsidP="000E5EFC">
            <w:pPr>
              <w:rPr>
                <w:rFonts w:ascii="Arial" w:eastAsia="Times New Roman" w:hAnsi="Arial" w:cs="Arial"/>
                <w:color w:val="000000"/>
                <w:lang w:val="en-GB"/>
              </w:rPr>
            </w:pPr>
            <w:r w:rsidRPr="00C33193">
              <w:rPr>
                <w:rFonts w:ascii="Arial" w:eastAsia="Times New Roman" w:hAnsi="Arial" w:cs="Arial"/>
                <w:color w:val="000000"/>
                <w:lang w:val="en-GB"/>
              </w:rPr>
              <w:t> </w:t>
            </w:r>
          </w:p>
        </w:tc>
        <w:tc>
          <w:tcPr>
            <w:tcW w:w="5463" w:type="dxa"/>
            <w:tcBorders>
              <w:top w:val="nil"/>
              <w:left w:val="nil"/>
              <w:bottom w:val="nil"/>
              <w:right w:val="nil"/>
            </w:tcBorders>
            <w:shd w:val="clear" w:color="auto" w:fill="auto"/>
            <w:vAlign w:val="bottom"/>
            <w:hideMark/>
          </w:tcPr>
          <w:p w14:paraId="1F9C6C25" w14:textId="77777777" w:rsidR="00EF1F17" w:rsidRPr="00C33193" w:rsidRDefault="00EF1F17" w:rsidP="000E5EFC">
            <w:pPr>
              <w:rPr>
                <w:rFonts w:ascii="Arial" w:eastAsia="Times New Roman" w:hAnsi="Arial" w:cs="Arial"/>
                <w:i/>
                <w:iCs/>
                <w:color w:val="000000"/>
                <w:lang w:val="en-GB"/>
              </w:rPr>
            </w:pPr>
            <w:r w:rsidRPr="00C33193">
              <w:rPr>
                <w:rFonts w:ascii="Arial" w:eastAsia="Times New Roman" w:hAnsi="Arial" w:cs="Arial"/>
                <w:i/>
                <w:iCs/>
                <w:color w:val="000000"/>
                <w:lang w:val="en-GB"/>
              </w:rPr>
              <w:t xml:space="preserve">   sexual abuse</w:t>
            </w:r>
          </w:p>
        </w:tc>
        <w:tc>
          <w:tcPr>
            <w:tcW w:w="2105" w:type="dxa"/>
            <w:tcBorders>
              <w:top w:val="nil"/>
              <w:left w:val="single" w:sz="4" w:space="0" w:color="auto"/>
              <w:bottom w:val="nil"/>
              <w:right w:val="nil"/>
            </w:tcBorders>
            <w:shd w:val="clear" w:color="auto" w:fill="auto"/>
            <w:vAlign w:val="bottom"/>
            <w:hideMark/>
          </w:tcPr>
          <w:p w14:paraId="4EED784B"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3.21 (1.55)</w:t>
            </w:r>
          </w:p>
        </w:tc>
        <w:tc>
          <w:tcPr>
            <w:tcW w:w="2192" w:type="dxa"/>
            <w:tcBorders>
              <w:top w:val="nil"/>
              <w:left w:val="nil"/>
              <w:bottom w:val="nil"/>
              <w:right w:val="nil"/>
            </w:tcBorders>
            <w:shd w:val="clear" w:color="auto" w:fill="auto"/>
            <w:vAlign w:val="bottom"/>
            <w:hideMark/>
          </w:tcPr>
          <w:p w14:paraId="072CBF93"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0.00 (0.00)</w:t>
            </w:r>
          </w:p>
        </w:tc>
        <w:tc>
          <w:tcPr>
            <w:tcW w:w="1165" w:type="dxa"/>
            <w:tcBorders>
              <w:top w:val="nil"/>
              <w:left w:val="nil"/>
              <w:bottom w:val="nil"/>
              <w:right w:val="single" w:sz="4" w:space="0" w:color="auto"/>
            </w:tcBorders>
            <w:shd w:val="clear" w:color="auto" w:fill="auto"/>
            <w:vAlign w:val="bottom"/>
            <w:hideMark/>
          </w:tcPr>
          <w:p w14:paraId="5ABE1436"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&lt;0.001*</w:t>
            </w:r>
          </w:p>
        </w:tc>
        <w:tc>
          <w:tcPr>
            <w:tcW w:w="1420" w:type="dxa"/>
            <w:tcBorders>
              <w:top w:val="nil"/>
              <w:left w:val="nil"/>
              <w:bottom w:val="nil"/>
              <w:right w:val="nil"/>
            </w:tcBorders>
            <w:shd w:val="clear" w:color="auto" w:fill="auto"/>
            <w:noWrap/>
            <w:vAlign w:val="bottom"/>
            <w:hideMark/>
          </w:tcPr>
          <w:p w14:paraId="491A4318" w14:textId="77777777" w:rsidR="00EF1F17" w:rsidRPr="00C33193" w:rsidRDefault="00EF1F17" w:rsidP="000E5EFC">
            <w:pPr>
              <w:rPr>
                <w:rFonts w:ascii="Arial" w:eastAsia="Times New Roman" w:hAnsi="Arial" w:cs="Arial"/>
                <w:color w:val="000000"/>
                <w:lang w:val="en-GB"/>
              </w:rPr>
            </w:pPr>
          </w:p>
        </w:tc>
      </w:tr>
      <w:tr w:rsidR="00EF1F17" w:rsidRPr="00C33193" w14:paraId="17597A37" w14:textId="77777777" w:rsidTr="000E5EFC">
        <w:trPr>
          <w:trHeight w:val="340"/>
        </w:trPr>
        <w:tc>
          <w:tcPr>
            <w:tcW w:w="115" w:type="dxa"/>
            <w:tcBorders>
              <w:top w:val="nil"/>
              <w:left w:val="single" w:sz="4" w:space="0" w:color="auto"/>
              <w:bottom w:val="nil"/>
              <w:right w:val="nil"/>
            </w:tcBorders>
            <w:shd w:val="clear" w:color="auto" w:fill="auto"/>
            <w:noWrap/>
            <w:vAlign w:val="bottom"/>
            <w:hideMark/>
          </w:tcPr>
          <w:p w14:paraId="263A2ED7" w14:textId="77777777" w:rsidR="00EF1F17" w:rsidRPr="00C33193" w:rsidRDefault="00EF1F17" w:rsidP="000E5EFC">
            <w:pPr>
              <w:rPr>
                <w:rFonts w:ascii="Arial" w:eastAsia="Times New Roman" w:hAnsi="Arial" w:cs="Arial"/>
                <w:color w:val="000000"/>
                <w:lang w:val="en-GB"/>
              </w:rPr>
            </w:pPr>
            <w:r w:rsidRPr="00C33193">
              <w:rPr>
                <w:rFonts w:ascii="Arial" w:eastAsia="Times New Roman" w:hAnsi="Arial" w:cs="Arial"/>
                <w:color w:val="000000"/>
                <w:lang w:val="en-GB"/>
              </w:rPr>
              <w:t> </w:t>
            </w:r>
          </w:p>
        </w:tc>
        <w:tc>
          <w:tcPr>
            <w:tcW w:w="5463" w:type="dxa"/>
            <w:tcBorders>
              <w:top w:val="nil"/>
              <w:left w:val="nil"/>
              <w:bottom w:val="nil"/>
              <w:right w:val="nil"/>
            </w:tcBorders>
            <w:shd w:val="clear" w:color="auto" w:fill="auto"/>
            <w:vAlign w:val="bottom"/>
            <w:hideMark/>
          </w:tcPr>
          <w:p w14:paraId="2123B3CA" w14:textId="77777777" w:rsidR="00EF1F17" w:rsidRPr="00C33193" w:rsidRDefault="00EF1F17" w:rsidP="000E5EFC">
            <w:pPr>
              <w:rPr>
                <w:rFonts w:ascii="Arial" w:eastAsia="Times New Roman" w:hAnsi="Arial" w:cs="Arial"/>
                <w:b/>
                <w:bCs/>
                <w:color w:val="000000"/>
                <w:lang w:val="en-GB"/>
              </w:rPr>
            </w:pPr>
            <w:r w:rsidRPr="00C33193">
              <w:rPr>
                <w:rFonts w:ascii="Arial" w:eastAsia="Times New Roman" w:hAnsi="Arial" w:cs="Arial"/>
                <w:b/>
                <w:bCs/>
                <w:color w:val="000000"/>
                <w:lang w:val="en-GB"/>
              </w:rPr>
              <w:t>TEC: 13 - 18 years^^</w:t>
            </w:r>
          </w:p>
        </w:tc>
        <w:tc>
          <w:tcPr>
            <w:tcW w:w="2105" w:type="dxa"/>
            <w:tcBorders>
              <w:top w:val="nil"/>
              <w:left w:val="single" w:sz="4" w:space="0" w:color="auto"/>
              <w:bottom w:val="nil"/>
              <w:right w:val="nil"/>
            </w:tcBorders>
            <w:shd w:val="clear" w:color="auto" w:fill="auto"/>
            <w:vAlign w:val="bottom"/>
            <w:hideMark/>
          </w:tcPr>
          <w:p w14:paraId="71B5235F" w14:textId="77777777" w:rsidR="00EF1F17" w:rsidRPr="00C33193" w:rsidRDefault="00EF1F17" w:rsidP="000E5EFC">
            <w:pPr>
              <w:rPr>
                <w:rFonts w:ascii="Arial" w:eastAsia="Times New Roman" w:hAnsi="Arial" w:cs="Arial"/>
                <w:b/>
                <w:bCs/>
                <w:color w:val="000000"/>
                <w:lang w:val="en-GB"/>
              </w:rPr>
            </w:pPr>
            <w:r w:rsidRPr="00C33193">
              <w:rPr>
                <w:rFonts w:ascii="Arial" w:eastAsia="Times New Roman" w:hAnsi="Arial" w:cs="Arial"/>
                <w:b/>
                <w:bCs/>
                <w:color w:val="000000"/>
                <w:lang w:val="en-GB"/>
              </w:rPr>
              <w:t> </w:t>
            </w:r>
          </w:p>
        </w:tc>
        <w:tc>
          <w:tcPr>
            <w:tcW w:w="2192" w:type="dxa"/>
            <w:tcBorders>
              <w:top w:val="nil"/>
              <w:left w:val="nil"/>
              <w:bottom w:val="nil"/>
              <w:right w:val="nil"/>
            </w:tcBorders>
            <w:shd w:val="clear" w:color="auto" w:fill="auto"/>
            <w:vAlign w:val="bottom"/>
            <w:hideMark/>
          </w:tcPr>
          <w:p w14:paraId="4D1AEF4B" w14:textId="77777777" w:rsidR="00EF1F17" w:rsidRPr="00C33193" w:rsidRDefault="00EF1F17" w:rsidP="000E5EFC">
            <w:pPr>
              <w:jc w:val="center"/>
              <w:rPr>
                <w:rFonts w:ascii="Arial" w:eastAsia="Times New Roman" w:hAnsi="Arial" w:cs="Arial"/>
                <w:color w:val="000000"/>
                <w:lang w:val="en-GB"/>
              </w:rPr>
            </w:pPr>
          </w:p>
        </w:tc>
        <w:tc>
          <w:tcPr>
            <w:tcW w:w="1165" w:type="dxa"/>
            <w:tcBorders>
              <w:top w:val="nil"/>
              <w:left w:val="nil"/>
              <w:bottom w:val="nil"/>
              <w:right w:val="single" w:sz="4" w:space="0" w:color="auto"/>
            </w:tcBorders>
            <w:shd w:val="clear" w:color="auto" w:fill="auto"/>
            <w:vAlign w:val="bottom"/>
            <w:hideMark/>
          </w:tcPr>
          <w:p w14:paraId="1D5AECC9"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 </w:t>
            </w:r>
          </w:p>
        </w:tc>
        <w:tc>
          <w:tcPr>
            <w:tcW w:w="1420" w:type="dxa"/>
            <w:tcBorders>
              <w:top w:val="nil"/>
              <w:left w:val="nil"/>
              <w:bottom w:val="nil"/>
              <w:right w:val="nil"/>
            </w:tcBorders>
            <w:shd w:val="clear" w:color="auto" w:fill="auto"/>
            <w:noWrap/>
            <w:vAlign w:val="bottom"/>
            <w:hideMark/>
          </w:tcPr>
          <w:p w14:paraId="443A9B02" w14:textId="77777777" w:rsidR="00EF1F17" w:rsidRPr="00C33193" w:rsidRDefault="00EF1F17" w:rsidP="000E5EFC">
            <w:pPr>
              <w:rPr>
                <w:rFonts w:ascii="Arial" w:eastAsia="Times New Roman" w:hAnsi="Arial" w:cs="Arial"/>
                <w:color w:val="000000"/>
                <w:lang w:val="en-GB"/>
              </w:rPr>
            </w:pPr>
          </w:p>
        </w:tc>
      </w:tr>
      <w:tr w:rsidR="00EF1F17" w:rsidRPr="00C33193" w14:paraId="15731304" w14:textId="77777777" w:rsidTr="000E5EFC">
        <w:trPr>
          <w:trHeight w:val="340"/>
        </w:trPr>
        <w:tc>
          <w:tcPr>
            <w:tcW w:w="115" w:type="dxa"/>
            <w:tcBorders>
              <w:top w:val="nil"/>
              <w:left w:val="single" w:sz="4" w:space="0" w:color="auto"/>
              <w:bottom w:val="nil"/>
              <w:right w:val="nil"/>
            </w:tcBorders>
            <w:shd w:val="clear" w:color="auto" w:fill="auto"/>
            <w:noWrap/>
            <w:vAlign w:val="bottom"/>
            <w:hideMark/>
          </w:tcPr>
          <w:p w14:paraId="5EB24554" w14:textId="77777777" w:rsidR="00EF1F17" w:rsidRPr="00C33193" w:rsidRDefault="00EF1F17" w:rsidP="000E5EFC">
            <w:pPr>
              <w:rPr>
                <w:rFonts w:ascii="Arial" w:eastAsia="Times New Roman" w:hAnsi="Arial" w:cs="Arial"/>
                <w:color w:val="000000"/>
                <w:lang w:val="en-GB"/>
              </w:rPr>
            </w:pPr>
            <w:r w:rsidRPr="00C33193">
              <w:rPr>
                <w:rFonts w:ascii="Arial" w:eastAsia="Times New Roman" w:hAnsi="Arial" w:cs="Arial"/>
                <w:color w:val="000000"/>
                <w:lang w:val="en-GB"/>
              </w:rPr>
              <w:t> </w:t>
            </w:r>
          </w:p>
        </w:tc>
        <w:tc>
          <w:tcPr>
            <w:tcW w:w="5463" w:type="dxa"/>
            <w:tcBorders>
              <w:top w:val="nil"/>
              <w:left w:val="nil"/>
              <w:bottom w:val="nil"/>
              <w:right w:val="nil"/>
            </w:tcBorders>
            <w:shd w:val="clear" w:color="auto" w:fill="auto"/>
            <w:vAlign w:val="bottom"/>
            <w:hideMark/>
          </w:tcPr>
          <w:p w14:paraId="781A8DF1" w14:textId="77777777" w:rsidR="00EF1F17" w:rsidRPr="00C33193" w:rsidRDefault="00EF1F17" w:rsidP="000E5EFC">
            <w:pPr>
              <w:rPr>
                <w:rFonts w:ascii="Arial" w:eastAsia="Times New Roman" w:hAnsi="Arial" w:cs="Arial"/>
                <w:i/>
                <w:iCs/>
                <w:color w:val="000000"/>
                <w:lang w:val="en-GB"/>
              </w:rPr>
            </w:pPr>
            <w:r w:rsidRPr="00C33193">
              <w:rPr>
                <w:rFonts w:ascii="Arial" w:eastAsia="Times New Roman" w:hAnsi="Arial" w:cs="Arial"/>
                <w:i/>
                <w:iCs/>
                <w:color w:val="000000"/>
                <w:lang w:val="en-GB"/>
              </w:rPr>
              <w:t xml:space="preserve">   emotional neglect</w:t>
            </w:r>
          </w:p>
        </w:tc>
        <w:tc>
          <w:tcPr>
            <w:tcW w:w="2105" w:type="dxa"/>
            <w:tcBorders>
              <w:top w:val="nil"/>
              <w:left w:val="single" w:sz="4" w:space="0" w:color="auto"/>
              <w:bottom w:val="nil"/>
              <w:right w:val="nil"/>
            </w:tcBorders>
            <w:shd w:val="clear" w:color="auto" w:fill="auto"/>
            <w:vAlign w:val="bottom"/>
            <w:hideMark/>
          </w:tcPr>
          <w:p w14:paraId="2DC43C01"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3.71 (1.05)</w:t>
            </w:r>
          </w:p>
        </w:tc>
        <w:tc>
          <w:tcPr>
            <w:tcW w:w="2192" w:type="dxa"/>
            <w:tcBorders>
              <w:top w:val="nil"/>
              <w:left w:val="nil"/>
              <w:bottom w:val="nil"/>
              <w:right w:val="nil"/>
            </w:tcBorders>
            <w:shd w:val="clear" w:color="auto" w:fill="auto"/>
            <w:vAlign w:val="bottom"/>
            <w:hideMark/>
          </w:tcPr>
          <w:p w14:paraId="5C3ECA1A"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0.77 (1.48)</w:t>
            </w:r>
          </w:p>
        </w:tc>
        <w:tc>
          <w:tcPr>
            <w:tcW w:w="1165" w:type="dxa"/>
            <w:tcBorders>
              <w:top w:val="nil"/>
              <w:left w:val="nil"/>
              <w:bottom w:val="nil"/>
              <w:right w:val="single" w:sz="4" w:space="0" w:color="auto"/>
            </w:tcBorders>
            <w:shd w:val="clear" w:color="auto" w:fill="auto"/>
            <w:vAlign w:val="bottom"/>
            <w:hideMark/>
          </w:tcPr>
          <w:p w14:paraId="6FDC3C2E"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&lt;0.001*</w:t>
            </w:r>
          </w:p>
        </w:tc>
        <w:tc>
          <w:tcPr>
            <w:tcW w:w="1420" w:type="dxa"/>
            <w:tcBorders>
              <w:top w:val="nil"/>
              <w:left w:val="nil"/>
              <w:bottom w:val="nil"/>
              <w:right w:val="nil"/>
            </w:tcBorders>
            <w:shd w:val="clear" w:color="auto" w:fill="auto"/>
            <w:noWrap/>
            <w:vAlign w:val="bottom"/>
            <w:hideMark/>
          </w:tcPr>
          <w:p w14:paraId="6EFDB0C3" w14:textId="77777777" w:rsidR="00EF1F17" w:rsidRPr="00C33193" w:rsidRDefault="00EF1F17" w:rsidP="000E5EFC">
            <w:pPr>
              <w:rPr>
                <w:rFonts w:ascii="Arial" w:eastAsia="Times New Roman" w:hAnsi="Arial" w:cs="Arial"/>
                <w:color w:val="000000"/>
                <w:lang w:val="en-GB"/>
              </w:rPr>
            </w:pPr>
          </w:p>
        </w:tc>
      </w:tr>
      <w:tr w:rsidR="00EF1F17" w:rsidRPr="00C33193" w14:paraId="35A11912" w14:textId="77777777" w:rsidTr="000E5EFC">
        <w:trPr>
          <w:trHeight w:val="340"/>
        </w:trPr>
        <w:tc>
          <w:tcPr>
            <w:tcW w:w="115" w:type="dxa"/>
            <w:tcBorders>
              <w:top w:val="nil"/>
              <w:left w:val="single" w:sz="4" w:space="0" w:color="auto"/>
              <w:bottom w:val="nil"/>
              <w:right w:val="nil"/>
            </w:tcBorders>
            <w:shd w:val="clear" w:color="auto" w:fill="auto"/>
            <w:noWrap/>
            <w:vAlign w:val="bottom"/>
            <w:hideMark/>
          </w:tcPr>
          <w:p w14:paraId="7AAD42C3" w14:textId="77777777" w:rsidR="00EF1F17" w:rsidRPr="00C33193" w:rsidRDefault="00EF1F17" w:rsidP="000E5EFC">
            <w:pPr>
              <w:rPr>
                <w:rFonts w:ascii="Arial" w:eastAsia="Times New Roman" w:hAnsi="Arial" w:cs="Arial"/>
                <w:color w:val="000000"/>
                <w:lang w:val="en-GB"/>
              </w:rPr>
            </w:pPr>
            <w:r w:rsidRPr="00C33193">
              <w:rPr>
                <w:rFonts w:ascii="Arial" w:eastAsia="Times New Roman" w:hAnsi="Arial" w:cs="Arial"/>
                <w:color w:val="000000"/>
                <w:lang w:val="en-GB"/>
              </w:rPr>
              <w:t> </w:t>
            </w:r>
          </w:p>
        </w:tc>
        <w:tc>
          <w:tcPr>
            <w:tcW w:w="5463" w:type="dxa"/>
            <w:tcBorders>
              <w:top w:val="nil"/>
              <w:left w:val="nil"/>
              <w:bottom w:val="nil"/>
              <w:right w:val="nil"/>
            </w:tcBorders>
            <w:shd w:val="clear" w:color="auto" w:fill="auto"/>
            <w:vAlign w:val="bottom"/>
            <w:hideMark/>
          </w:tcPr>
          <w:p w14:paraId="63E72986" w14:textId="77777777" w:rsidR="00EF1F17" w:rsidRPr="00C33193" w:rsidRDefault="00EF1F17" w:rsidP="000E5EFC">
            <w:pPr>
              <w:rPr>
                <w:rFonts w:ascii="Arial" w:eastAsia="Times New Roman" w:hAnsi="Arial" w:cs="Arial"/>
                <w:i/>
                <w:iCs/>
                <w:color w:val="000000"/>
                <w:lang w:val="en-GB"/>
              </w:rPr>
            </w:pPr>
            <w:r w:rsidRPr="00C33193">
              <w:rPr>
                <w:rFonts w:ascii="Arial" w:eastAsia="Times New Roman" w:hAnsi="Arial" w:cs="Arial"/>
                <w:i/>
                <w:iCs/>
                <w:color w:val="000000"/>
                <w:lang w:val="en-GB"/>
              </w:rPr>
              <w:t xml:space="preserve">   emotional abuse</w:t>
            </w:r>
          </w:p>
        </w:tc>
        <w:tc>
          <w:tcPr>
            <w:tcW w:w="2105" w:type="dxa"/>
            <w:tcBorders>
              <w:top w:val="nil"/>
              <w:left w:val="single" w:sz="4" w:space="0" w:color="auto"/>
              <w:bottom w:val="nil"/>
              <w:right w:val="nil"/>
            </w:tcBorders>
            <w:shd w:val="clear" w:color="auto" w:fill="auto"/>
            <w:vAlign w:val="bottom"/>
            <w:hideMark/>
          </w:tcPr>
          <w:p w14:paraId="3630EF18"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3.75 (0.84)</w:t>
            </w:r>
          </w:p>
        </w:tc>
        <w:tc>
          <w:tcPr>
            <w:tcW w:w="2192" w:type="dxa"/>
            <w:tcBorders>
              <w:top w:val="nil"/>
              <w:left w:val="nil"/>
              <w:bottom w:val="nil"/>
              <w:right w:val="nil"/>
            </w:tcBorders>
            <w:shd w:val="clear" w:color="auto" w:fill="auto"/>
            <w:vAlign w:val="bottom"/>
            <w:hideMark/>
          </w:tcPr>
          <w:p w14:paraId="0E513766"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0.53 (1.28)</w:t>
            </w:r>
          </w:p>
        </w:tc>
        <w:tc>
          <w:tcPr>
            <w:tcW w:w="1165" w:type="dxa"/>
            <w:tcBorders>
              <w:top w:val="nil"/>
              <w:left w:val="nil"/>
              <w:bottom w:val="nil"/>
              <w:right w:val="single" w:sz="4" w:space="0" w:color="auto"/>
            </w:tcBorders>
            <w:shd w:val="clear" w:color="auto" w:fill="auto"/>
            <w:vAlign w:val="bottom"/>
            <w:hideMark/>
          </w:tcPr>
          <w:p w14:paraId="5CC70910"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&lt;0.001*</w:t>
            </w:r>
          </w:p>
        </w:tc>
        <w:tc>
          <w:tcPr>
            <w:tcW w:w="1420" w:type="dxa"/>
            <w:tcBorders>
              <w:top w:val="nil"/>
              <w:left w:val="nil"/>
              <w:bottom w:val="nil"/>
              <w:right w:val="nil"/>
            </w:tcBorders>
            <w:shd w:val="clear" w:color="auto" w:fill="auto"/>
            <w:noWrap/>
            <w:vAlign w:val="bottom"/>
            <w:hideMark/>
          </w:tcPr>
          <w:p w14:paraId="5AB38FD1" w14:textId="77777777" w:rsidR="00EF1F17" w:rsidRPr="00C33193" w:rsidRDefault="00EF1F17" w:rsidP="000E5EFC">
            <w:pPr>
              <w:rPr>
                <w:rFonts w:ascii="Arial" w:eastAsia="Times New Roman" w:hAnsi="Arial" w:cs="Arial"/>
                <w:color w:val="000000"/>
                <w:lang w:val="en-GB"/>
              </w:rPr>
            </w:pPr>
          </w:p>
        </w:tc>
      </w:tr>
      <w:tr w:rsidR="00EF1F17" w:rsidRPr="00C33193" w14:paraId="6F3B0042" w14:textId="77777777" w:rsidTr="000E5EFC">
        <w:trPr>
          <w:trHeight w:val="340"/>
        </w:trPr>
        <w:tc>
          <w:tcPr>
            <w:tcW w:w="115" w:type="dxa"/>
            <w:tcBorders>
              <w:top w:val="nil"/>
              <w:left w:val="single" w:sz="4" w:space="0" w:color="auto"/>
              <w:bottom w:val="nil"/>
              <w:right w:val="nil"/>
            </w:tcBorders>
            <w:shd w:val="clear" w:color="auto" w:fill="auto"/>
            <w:noWrap/>
            <w:vAlign w:val="bottom"/>
            <w:hideMark/>
          </w:tcPr>
          <w:p w14:paraId="004BA0B5" w14:textId="77777777" w:rsidR="00EF1F17" w:rsidRPr="00C33193" w:rsidRDefault="00EF1F17" w:rsidP="000E5EFC">
            <w:pPr>
              <w:rPr>
                <w:rFonts w:ascii="Arial" w:eastAsia="Times New Roman" w:hAnsi="Arial" w:cs="Arial"/>
                <w:color w:val="000000"/>
                <w:lang w:val="en-GB"/>
              </w:rPr>
            </w:pPr>
            <w:r w:rsidRPr="00C33193">
              <w:rPr>
                <w:rFonts w:ascii="Arial" w:eastAsia="Times New Roman" w:hAnsi="Arial" w:cs="Arial"/>
                <w:color w:val="000000"/>
                <w:lang w:val="en-GB"/>
              </w:rPr>
              <w:t> </w:t>
            </w:r>
          </w:p>
        </w:tc>
        <w:tc>
          <w:tcPr>
            <w:tcW w:w="5463" w:type="dxa"/>
            <w:tcBorders>
              <w:top w:val="nil"/>
              <w:left w:val="nil"/>
              <w:bottom w:val="nil"/>
              <w:right w:val="nil"/>
            </w:tcBorders>
            <w:shd w:val="clear" w:color="auto" w:fill="auto"/>
            <w:vAlign w:val="bottom"/>
            <w:hideMark/>
          </w:tcPr>
          <w:p w14:paraId="7060F912" w14:textId="77777777" w:rsidR="00EF1F17" w:rsidRPr="00C33193" w:rsidRDefault="00EF1F17" w:rsidP="000E5EFC">
            <w:pPr>
              <w:rPr>
                <w:rFonts w:ascii="Arial" w:eastAsia="Times New Roman" w:hAnsi="Arial" w:cs="Arial"/>
                <w:i/>
                <w:iCs/>
                <w:color w:val="000000"/>
                <w:lang w:val="en-GB"/>
              </w:rPr>
            </w:pPr>
            <w:r w:rsidRPr="00C33193">
              <w:rPr>
                <w:rFonts w:ascii="Arial" w:eastAsia="Times New Roman" w:hAnsi="Arial" w:cs="Arial"/>
                <w:i/>
                <w:iCs/>
                <w:color w:val="000000"/>
                <w:lang w:val="en-GB"/>
              </w:rPr>
              <w:t xml:space="preserve">   physical abuse</w:t>
            </w:r>
          </w:p>
        </w:tc>
        <w:tc>
          <w:tcPr>
            <w:tcW w:w="2105" w:type="dxa"/>
            <w:tcBorders>
              <w:top w:val="nil"/>
              <w:left w:val="single" w:sz="4" w:space="0" w:color="auto"/>
              <w:bottom w:val="nil"/>
              <w:right w:val="nil"/>
            </w:tcBorders>
            <w:shd w:val="clear" w:color="auto" w:fill="auto"/>
            <w:vAlign w:val="bottom"/>
            <w:hideMark/>
          </w:tcPr>
          <w:p w14:paraId="53402605"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3.57 (1.26)</w:t>
            </w:r>
          </w:p>
        </w:tc>
        <w:tc>
          <w:tcPr>
            <w:tcW w:w="2192" w:type="dxa"/>
            <w:tcBorders>
              <w:top w:val="nil"/>
              <w:left w:val="nil"/>
              <w:bottom w:val="nil"/>
              <w:right w:val="nil"/>
            </w:tcBorders>
            <w:shd w:val="clear" w:color="auto" w:fill="auto"/>
            <w:vAlign w:val="bottom"/>
            <w:hideMark/>
          </w:tcPr>
          <w:p w14:paraId="5EFF670E"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0.16 (0.75)</w:t>
            </w:r>
          </w:p>
        </w:tc>
        <w:tc>
          <w:tcPr>
            <w:tcW w:w="1165" w:type="dxa"/>
            <w:tcBorders>
              <w:top w:val="nil"/>
              <w:left w:val="nil"/>
              <w:bottom w:val="nil"/>
              <w:right w:val="single" w:sz="4" w:space="0" w:color="auto"/>
            </w:tcBorders>
            <w:shd w:val="clear" w:color="auto" w:fill="auto"/>
            <w:vAlign w:val="bottom"/>
            <w:hideMark/>
          </w:tcPr>
          <w:p w14:paraId="07216ABE"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&lt;0.001*</w:t>
            </w:r>
          </w:p>
        </w:tc>
        <w:tc>
          <w:tcPr>
            <w:tcW w:w="1420" w:type="dxa"/>
            <w:tcBorders>
              <w:top w:val="nil"/>
              <w:left w:val="nil"/>
              <w:bottom w:val="nil"/>
              <w:right w:val="nil"/>
            </w:tcBorders>
            <w:shd w:val="clear" w:color="auto" w:fill="auto"/>
            <w:noWrap/>
            <w:vAlign w:val="bottom"/>
            <w:hideMark/>
          </w:tcPr>
          <w:p w14:paraId="2808A8A8" w14:textId="77777777" w:rsidR="00EF1F17" w:rsidRPr="00C33193" w:rsidRDefault="00EF1F17" w:rsidP="000E5EFC">
            <w:pPr>
              <w:rPr>
                <w:rFonts w:ascii="Arial" w:eastAsia="Times New Roman" w:hAnsi="Arial" w:cs="Arial"/>
                <w:color w:val="000000"/>
                <w:lang w:val="en-GB"/>
              </w:rPr>
            </w:pPr>
          </w:p>
        </w:tc>
      </w:tr>
      <w:tr w:rsidR="00EF1F17" w:rsidRPr="00C33193" w14:paraId="7554C199" w14:textId="77777777" w:rsidTr="000E5EFC">
        <w:trPr>
          <w:trHeight w:val="340"/>
        </w:trPr>
        <w:tc>
          <w:tcPr>
            <w:tcW w:w="115" w:type="dxa"/>
            <w:tcBorders>
              <w:top w:val="nil"/>
              <w:left w:val="single" w:sz="4" w:space="0" w:color="auto"/>
              <w:bottom w:val="nil"/>
              <w:right w:val="nil"/>
            </w:tcBorders>
            <w:shd w:val="clear" w:color="auto" w:fill="auto"/>
            <w:noWrap/>
            <w:vAlign w:val="bottom"/>
            <w:hideMark/>
          </w:tcPr>
          <w:p w14:paraId="4585CBE7" w14:textId="77777777" w:rsidR="00EF1F17" w:rsidRPr="00C33193" w:rsidRDefault="00EF1F17" w:rsidP="000E5EFC">
            <w:pPr>
              <w:rPr>
                <w:rFonts w:ascii="Arial" w:eastAsia="Times New Roman" w:hAnsi="Arial" w:cs="Arial"/>
                <w:color w:val="000000"/>
                <w:lang w:val="en-GB"/>
              </w:rPr>
            </w:pPr>
            <w:r w:rsidRPr="00C33193">
              <w:rPr>
                <w:rFonts w:ascii="Arial" w:eastAsia="Times New Roman" w:hAnsi="Arial" w:cs="Arial"/>
                <w:color w:val="000000"/>
                <w:lang w:val="en-GB"/>
              </w:rPr>
              <w:t> </w:t>
            </w:r>
          </w:p>
        </w:tc>
        <w:tc>
          <w:tcPr>
            <w:tcW w:w="5463" w:type="dxa"/>
            <w:tcBorders>
              <w:top w:val="nil"/>
              <w:left w:val="nil"/>
              <w:bottom w:val="nil"/>
              <w:right w:val="nil"/>
            </w:tcBorders>
            <w:shd w:val="clear" w:color="auto" w:fill="auto"/>
            <w:vAlign w:val="bottom"/>
            <w:hideMark/>
          </w:tcPr>
          <w:p w14:paraId="38EC345C" w14:textId="77777777" w:rsidR="00EF1F17" w:rsidRPr="00C33193" w:rsidRDefault="00EF1F17" w:rsidP="000E5EFC">
            <w:pPr>
              <w:rPr>
                <w:rFonts w:ascii="Arial" w:eastAsia="Times New Roman" w:hAnsi="Arial" w:cs="Arial"/>
                <w:i/>
                <w:iCs/>
                <w:color w:val="000000"/>
                <w:lang w:val="en-GB"/>
              </w:rPr>
            </w:pPr>
            <w:r w:rsidRPr="00C33193">
              <w:rPr>
                <w:rFonts w:ascii="Arial" w:eastAsia="Times New Roman" w:hAnsi="Arial" w:cs="Arial"/>
                <w:i/>
                <w:iCs/>
                <w:color w:val="000000"/>
                <w:lang w:val="en-GB"/>
              </w:rPr>
              <w:t xml:space="preserve">   sexual harassment</w:t>
            </w:r>
          </w:p>
        </w:tc>
        <w:tc>
          <w:tcPr>
            <w:tcW w:w="2105" w:type="dxa"/>
            <w:tcBorders>
              <w:top w:val="nil"/>
              <w:left w:val="single" w:sz="4" w:space="0" w:color="auto"/>
              <w:bottom w:val="nil"/>
              <w:right w:val="nil"/>
            </w:tcBorders>
            <w:shd w:val="clear" w:color="auto" w:fill="auto"/>
            <w:vAlign w:val="bottom"/>
            <w:hideMark/>
          </w:tcPr>
          <w:p w14:paraId="58A18649"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2.89 (1.47)</w:t>
            </w:r>
          </w:p>
        </w:tc>
        <w:tc>
          <w:tcPr>
            <w:tcW w:w="2192" w:type="dxa"/>
            <w:tcBorders>
              <w:top w:val="nil"/>
              <w:left w:val="nil"/>
              <w:bottom w:val="nil"/>
              <w:right w:val="nil"/>
            </w:tcBorders>
            <w:shd w:val="clear" w:color="auto" w:fill="auto"/>
            <w:vAlign w:val="bottom"/>
            <w:hideMark/>
          </w:tcPr>
          <w:p w14:paraId="47A988B1"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0.37 (0.90)</w:t>
            </w:r>
          </w:p>
        </w:tc>
        <w:tc>
          <w:tcPr>
            <w:tcW w:w="1165" w:type="dxa"/>
            <w:tcBorders>
              <w:top w:val="nil"/>
              <w:left w:val="nil"/>
              <w:bottom w:val="nil"/>
              <w:right w:val="single" w:sz="4" w:space="0" w:color="auto"/>
            </w:tcBorders>
            <w:shd w:val="clear" w:color="auto" w:fill="auto"/>
            <w:vAlign w:val="bottom"/>
            <w:hideMark/>
          </w:tcPr>
          <w:p w14:paraId="4DEDD6E6"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&lt;0.001*</w:t>
            </w:r>
          </w:p>
        </w:tc>
        <w:tc>
          <w:tcPr>
            <w:tcW w:w="1420" w:type="dxa"/>
            <w:tcBorders>
              <w:top w:val="nil"/>
              <w:left w:val="nil"/>
              <w:bottom w:val="nil"/>
              <w:right w:val="nil"/>
            </w:tcBorders>
            <w:shd w:val="clear" w:color="auto" w:fill="auto"/>
            <w:noWrap/>
            <w:vAlign w:val="bottom"/>
            <w:hideMark/>
          </w:tcPr>
          <w:p w14:paraId="385A2546" w14:textId="77777777" w:rsidR="00EF1F17" w:rsidRPr="00C33193" w:rsidRDefault="00EF1F17" w:rsidP="000E5EFC">
            <w:pPr>
              <w:rPr>
                <w:rFonts w:ascii="Arial" w:eastAsia="Times New Roman" w:hAnsi="Arial" w:cs="Arial"/>
                <w:color w:val="000000"/>
                <w:lang w:val="en-GB"/>
              </w:rPr>
            </w:pPr>
          </w:p>
        </w:tc>
      </w:tr>
      <w:tr w:rsidR="00EF1F17" w:rsidRPr="00C33193" w14:paraId="03250AD2" w14:textId="77777777" w:rsidTr="000E5EFC">
        <w:trPr>
          <w:trHeight w:val="340"/>
        </w:trPr>
        <w:tc>
          <w:tcPr>
            <w:tcW w:w="115" w:type="dxa"/>
            <w:tcBorders>
              <w:top w:val="nil"/>
              <w:left w:val="single" w:sz="4" w:space="0" w:color="auto"/>
              <w:bottom w:val="single" w:sz="4" w:space="0" w:color="auto"/>
              <w:right w:val="nil"/>
            </w:tcBorders>
            <w:shd w:val="clear" w:color="auto" w:fill="auto"/>
            <w:noWrap/>
            <w:vAlign w:val="bottom"/>
            <w:hideMark/>
          </w:tcPr>
          <w:p w14:paraId="4F93FC3F" w14:textId="77777777" w:rsidR="00EF1F17" w:rsidRPr="00C33193" w:rsidRDefault="00EF1F17" w:rsidP="000E5EFC">
            <w:pPr>
              <w:rPr>
                <w:rFonts w:ascii="Arial" w:eastAsia="Times New Roman" w:hAnsi="Arial" w:cs="Arial"/>
                <w:color w:val="000000"/>
                <w:lang w:val="en-GB"/>
              </w:rPr>
            </w:pPr>
            <w:r w:rsidRPr="00C33193">
              <w:rPr>
                <w:rFonts w:ascii="Arial" w:eastAsia="Times New Roman" w:hAnsi="Arial" w:cs="Arial"/>
                <w:color w:val="000000"/>
                <w:lang w:val="en-GB"/>
              </w:rPr>
              <w:t> </w:t>
            </w:r>
          </w:p>
        </w:tc>
        <w:tc>
          <w:tcPr>
            <w:tcW w:w="5463" w:type="dxa"/>
            <w:tcBorders>
              <w:top w:val="nil"/>
              <w:left w:val="nil"/>
              <w:bottom w:val="single" w:sz="4" w:space="0" w:color="auto"/>
              <w:right w:val="nil"/>
            </w:tcBorders>
            <w:shd w:val="clear" w:color="auto" w:fill="auto"/>
            <w:vAlign w:val="bottom"/>
            <w:hideMark/>
          </w:tcPr>
          <w:p w14:paraId="7B40EBDA" w14:textId="77777777" w:rsidR="00EF1F17" w:rsidRPr="00C33193" w:rsidRDefault="00EF1F17" w:rsidP="000E5EFC">
            <w:pPr>
              <w:rPr>
                <w:rFonts w:ascii="Arial" w:eastAsia="Times New Roman" w:hAnsi="Arial" w:cs="Arial"/>
                <w:i/>
                <w:iCs/>
                <w:color w:val="000000"/>
                <w:lang w:val="en-GB"/>
              </w:rPr>
            </w:pPr>
            <w:r w:rsidRPr="00C33193">
              <w:rPr>
                <w:rFonts w:ascii="Arial" w:eastAsia="Times New Roman" w:hAnsi="Arial" w:cs="Arial"/>
                <w:i/>
                <w:iCs/>
                <w:color w:val="000000"/>
                <w:lang w:val="en-GB"/>
              </w:rPr>
              <w:t xml:space="preserve">   sexual abuse</w:t>
            </w:r>
          </w:p>
        </w:tc>
        <w:tc>
          <w:tcPr>
            <w:tcW w:w="2105" w:type="dxa"/>
            <w:tcBorders>
              <w:top w:val="nil"/>
              <w:left w:val="single" w:sz="4" w:space="0" w:color="auto"/>
              <w:bottom w:val="single" w:sz="4" w:space="0" w:color="auto"/>
              <w:right w:val="nil"/>
            </w:tcBorders>
            <w:shd w:val="clear" w:color="auto" w:fill="auto"/>
            <w:vAlign w:val="bottom"/>
            <w:hideMark/>
          </w:tcPr>
          <w:p w14:paraId="04A50AC7"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3.18 (1.54)</w:t>
            </w:r>
          </w:p>
        </w:tc>
        <w:tc>
          <w:tcPr>
            <w:tcW w:w="2192" w:type="dxa"/>
            <w:tcBorders>
              <w:top w:val="nil"/>
              <w:left w:val="nil"/>
              <w:bottom w:val="single" w:sz="4" w:space="0" w:color="auto"/>
              <w:right w:val="nil"/>
            </w:tcBorders>
            <w:shd w:val="clear" w:color="auto" w:fill="auto"/>
            <w:vAlign w:val="bottom"/>
            <w:hideMark/>
          </w:tcPr>
          <w:p w14:paraId="4A9B1C14"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0.12 (0.45)</w:t>
            </w:r>
          </w:p>
        </w:tc>
        <w:tc>
          <w:tcPr>
            <w:tcW w:w="1165" w:type="dxa"/>
            <w:tcBorders>
              <w:top w:val="nil"/>
              <w:left w:val="nil"/>
              <w:bottom w:val="single" w:sz="4" w:space="0" w:color="auto"/>
              <w:right w:val="single" w:sz="4" w:space="0" w:color="auto"/>
            </w:tcBorders>
            <w:shd w:val="clear" w:color="auto" w:fill="auto"/>
            <w:vAlign w:val="bottom"/>
            <w:hideMark/>
          </w:tcPr>
          <w:p w14:paraId="3B91166A"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&lt;0.001*</w:t>
            </w:r>
          </w:p>
        </w:tc>
        <w:tc>
          <w:tcPr>
            <w:tcW w:w="1420" w:type="dxa"/>
            <w:tcBorders>
              <w:top w:val="nil"/>
              <w:left w:val="nil"/>
              <w:bottom w:val="nil"/>
              <w:right w:val="nil"/>
            </w:tcBorders>
            <w:shd w:val="clear" w:color="auto" w:fill="auto"/>
            <w:noWrap/>
            <w:vAlign w:val="bottom"/>
            <w:hideMark/>
          </w:tcPr>
          <w:p w14:paraId="4815B09B" w14:textId="77777777" w:rsidR="00EF1F17" w:rsidRPr="00C33193" w:rsidRDefault="00EF1F17" w:rsidP="000E5EFC">
            <w:pPr>
              <w:rPr>
                <w:rFonts w:ascii="Arial" w:eastAsia="Times New Roman" w:hAnsi="Arial" w:cs="Arial"/>
                <w:color w:val="000000"/>
                <w:lang w:val="en-GB"/>
              </w:rPr>
            </w:pPr>
          </w:p>
        </w:tc>
      </w:tr>
      <w:tr w:rsidR="00EF1F17" w:rsidRPr="00C33193" w14:paraId="3C96A2F6" w14:textId="77777777" w:rsidTr="000E5EFC">
        <w:trPr>
          <w:trHeight w:val="340"/>
        </w:trPr>
        <w:tc>
          <w:tcPr>
            <w:tcW w:w="115" w:type="dxa"/>
            <w:tcBorders>
              <w:top w:val="nil"/>
              <w:left w:val="nil"/>
              <w:bottom w:val="nil"/>
              <w:right w:val="nil"/>
            </w:tcBorders>
            <w:shd w:val="clear" w:color="auto" w:fill="auto"/>
            <w:noWrap/>
            <w:vAlign w:val="bottom"/>
            <w:hideMark/>
          </w:tcPr>
          <w:p w14:paraId="3F1CCBF8" w14:textId="77777777" w:rsidR="00EF1F17" w:rsidRPr="00C33193" w:rsidRDefault="00EF1F17" w:rsidP="000E5EFC">
            <w:pPr>
              <w:rPr>
                <w:rFonts w:ascii="Arial" w:eastAsia="Times New Roman" w:hAnsi="Arial" w:cs="Arial"/>
                <w:color w:val="000000"/>
                <w:lang w:val="en-GB"/>
              </w:rPr>
            </w:pPr>
          </w:p>
        </w:tc>
        <w:tc>
          <w:tcPr>
            <w:tcW w:w="5463" w:type="dxa"/>
            <w:tcBorders>
              <w:top w:val="nil"/>
              <w:left w:val="nil"/>
              <w:bottom w:val="nil"/>
              <w:right w:val="nil"/>
            </w:tcBorders>
            <w:shd w:val="clear" w:color="auto" w:fill="auto"/>
            <w:noWrap/>
            <w:vAlign w:val="bottom"/>
            <w:hideMark/>
          </w:tcPr>
          <w:p w14:paraId="4EC9ACFB" w14:textId="77777777" w:rsidR="00EF1F17" w:rsidRPr="00C33193" w:rsidRDefault="00EF1F17" w:rsidP="000E5EFC">
            <w:pPr>
              <w:rPr>
                <w:rFonts w:ascii="Arial" w:eastAsia="Times New Roman" w:hAnsi="Arial" w:cs="Arial"/>
                <w:b/>
                <w:bCs/>
                <w:color w:val="000000"/>
                <w:lang w:val="en-GB"/>
              </w:rPr>
            </w:pPr>
          </w:p>
        </w:tc>
        <w:tc>
          <w:tcPr>
            <w:tcW w:w="2105" w:type="dxa"/>
            <w:tcBorders>
              <w:top w:val="nil"/>
              <w:left w:val="nil"/>
              <w:bottom w:val="nil"/>
              <w:right w:val="nil"/>
            </w:tcBorders>
            <w:shd w:val="clear" w:color="auto" w:fill="auto"/>
            <w:noWrap/>
            <w:vAlign w:val="bottom"/>
            <w:hideMark/>
          </w:tcPr>
          <w:p w14:paraId="29FDF965" w14:textId="77777777" w:rsidR="00EF1F17" w:rsidRPr="00C33193" w:rsidRDefault="00EF1F17" w:rsidP="000E5EFC">
            <w:pPr>
              <w:jc w:val="center"/>
              <w:rPr>
                <w:rFonts w:ascii="Arial" w:eastAsia="Times New Roman" w:hAnsi="Arial" w:cs="Arial"/>
                <w:color w:val="000000"/>
                <w:lang w:val="en-GB"/>
              </w:rPr>
            </w:pPr>
          </w:p>
        </w:tc>
        <w:tc>
          <w:tcPr>
            <w:tcW w:w="2192" w:type="dxa"/>
            <w:tcBorders>
              <w:top w:val="nil"/>
              <w:left w:val="nil"/>
              <w:bottom w:val="nil"/>
              <w:right w:val="nil"/>
            </w:tcBorders>
            <w:shd w:val="clear" w:color="auto" w:fill="auto"/>
            <w:noWrap/>
            <w:vAlign w:val="bottom"/>
            <w:hideMark/>
          </w:tcPr>
          <w:p w14:paraId="0F5553DD" w14:textId="77777777" w:rsidR="00EF1F17" w:rsidRPr="00C33193" w:rsidRDefault="00EF1F17" w:rsidP="000E5EFC">
            <w:pPr>
              <w:jc w:val="center"/>
              <w:rPr>
                <w:rFonts w:ascii="Arial" w:eastAsia="Times New Roman" w:hAnsi="Arial" w:cs="Arial"/>
                <w:color w:val="000000"/>
                <w:lang w:val="en-GB"/>
              </w:rPr>
            </w:pPr>
          </w:p>
        </w:tc>
        <w:tc>
          <w:tcPr>
            <w:tcW w:w="1165" w:type="dxa"/>
            <w:tcBorders>
              <w:top w:val="nil"/>
              <w:left w:val="nil"/>
              <w:bottom w:val="nil"/>
              <w:right w:val="nil"/>
            </w:tcBorders>
            <w:shd w:val="clear" w:color="auto" w:fill="auto"/>
            <w:noWrap/>
            <w:vAlign w:val="bottom"/>
            <w:hideMark/>
          </w:tcPr>
          <w:p w14:paraId="577EF34A" w14:textId="77777777" w:rsidR="00EF1F17" w:rsidRPr="00C33193" w:rsidRDefault="00EF1F17" w:rsidP="000E5EFC">
            <w:pPr>
              <w:jc w:val="center"/>
              <w:rPr>
                <w:rFonts w:ascii="Arial" w:eastAsia="Times New Roman" w:hAnsi="Arial" w:cs="Arial"/>
                <w:color w:val="000000"/>
                <w:lang w:val="en-GB"/>
              </w:rPr>
            </w:pPr>
          </w:p>
        </w:tc>
        <w:tc>
          <w:tcPr>
            <w:tcW w:w="1420" w:type="dxa"/>
            <w:tcBorders>
              <w:top w:val="nil"/>
              <w:left w:val="nil"/>
              <w:bottom w:val="nil"/>
              <w:right w:val="nil"/>
            </w:tcBorders>
            <w:shd w:val="clear" w:color="auto" w:fill="auto"/>
            <w:noWrap/>
            <w:vAlign w:val="bottom"/>
            <w:hideMark/>
          </w:tcPr>
          <w:p w14:paraId="3C484BF4" w14:textId="77777777" w:rsidR="00EF1F17" w:rsidRPr="00C33193" w:rsidRDefault="00EF1F17" w:rsidP="000E5EFC">
            <w:pPr>
              <w:rPr>
                <w:rFonts w:ascii="Arial" w:eastAsia="Times New Roman" w:hAnsi="Arial" w:cs="Arial"/>
                <w:color w:val="000000"/>
                <w:lang w:val="en-GB"/>
              </w:rPr>
            </w:pPr>
          </w:p>
        </w:tc>
      </w:tr>
      <w:tr w:rsidR="00EF1F17" w:rsidRPr="00C33193" w14:paraId="031670F7" w14:textId="77777777" w:rsidTr="000E5EFC">
        <w:trPr>
          <w:trHeight w:val="340"/>
        </w:trPr>
        <w:tc>
          <w:tcPr>
            <w:tcW w:w="12460" w:type="dxa"/>
            <w:gridSpan w:val="6"/>
            <w:tcBorders>
              <w:top w:val="nil"/>
              <w:left w:val="nil"/>
              <w:bottom w:val="nil"/>
              <w:right w:val="nil"/>
            </w:tcBorders>
            <w:shd w:val="clear" w:color="auto" w:fill="auto"/>
            <w:noWrap/>
            <w:vAlign w:val="bottom"/>
            <w:hideMark/>
          </w:tcPr>
          <w:p w14:paraId="79F6909B" w14:textId="77777777" w:rsidR="00EF1F17" w:rsidRPr="00C33193" w:rsidRDefault="00EF1F17" w:rsidP="000E5EFC">
            <w:pPr>
              <w:rPr>
                <w:rFonts w:ascii="Arial" w:eastAsia="Times New Roman" w:hAnsi="Arial" w:cs="Arial"/>
                <w:color w:val="000000"/>
                <w:lang w:val="en-GB"/>
              </w:rPr>
            </w:pPr>
            <w:r w:rsidRPr="00C33193">
              <w:rPr>
                <w:rFonts w:ascii="Arial" w:eastAsia="Times New Roman" w:hAnsi="Arial" w:cs="Arial"/>
                <w:color w:val="000000"/>
                <w:lang w:val="en-GB"/>
              </w:rPr>
              <w:t>^ = past and present medication use; ^^ = for 4 DID participants the age specific information was missing</w:t>
            </w:r>
          </w:p>
        </w:tc>
      </w:tr>
      <w:tr w:rsidR="00EF1F17" w:rsidRPr="00C33193" w14:paraId="47225086" w14:textId="77777777" w:rsidTr="000E5EFC">
        <w:trPr>
          <w:trHeight w:val="340"/>
        </w:trPr>
        <w:tc>
          <w:tcPr>
            <w:tcW w:w="9875" w:type="dxa"/>
            <w:gridSpan w:val="4"/>
            <w:tcBorders>
              <w:top w:val="nil"/>
              <w:left w:val="nil"/>
              <w:bottom w:val="nil"/>
              <w:right w:val="nil"/>
            </w:tcBorders>
            <w:shd w:val="clear" w:color="auto" w:fill="auto"/>
            <w:noWrap/>
            <w:vAlign w:val="bottom"/>
            <w:hideMark/>
          </w:tcPr>
          <w:p w14:paraId="0EF86184" w14:textId="77777777" w:rsidR="00EF1F17" w:rsidRPr="00C33193" w:rsidRDefault="00EF1F17" w:rsidP="000E5EFC">
            <w:pPr>
              <w:rPr>
                <w:rFonts w:ascii="Arial" w:eastAsia="Times New Roman" w:hAnsi="Arial" w:cs="Arial"/>
                <w:color w:val="000000"/>
                <w:lang w:val="en-GB"/>
              </w:rPr>
            </w:pPr>
            <w:r w:rsidRPr="00C33193">
              <w:rPr>
                <w:rFonts w:ascii="Arial" w:eastAsia="Times New Roman" w:hAnsi="Arial" w:cs="Arial"/>
                <w:color w:val="000000"/>
                <w:lang w:val="en-GB"/>
              </w:rPr>
              <w:t>DES = Dissociation Experience Scale; SDQ-20 = Somatoform Dissociation Questionnaire</w:t>
            </w:r>
          </w:p>
        </w:tc>
        <w:tc>
          <w:tcPr>
            <w:tcW w:w="1165" w:type="dxa"/>
            <w:tcBorders>
              <w:top w:val="nil"/>
              <w:left w:val="nil"/>
              <w:bottom w:val="nil"/>
              <w:right w:val="nil"/>
            </w:tcBorders>
            <w:shd w:val="clear" w:color="auto" w:fill="auto"/>
            <w:noWrap/>
            <w:vAlign w:val="bottom"/>
            <w:hideMark/>
          </w:tcPr>
          <w:p w14:paraId="69C1B7C1" w14:textId="77777777" w:rsidR="00EF1F17" w:rsidRPr="00C33193" w:rsidRDefault="00EF1F17" w:rsidP="000E5EFC">
            <w:pPr>
              <w:jc w:val="center"/>
              <w:rPr>
                <w:rFonts w:ascii="Arial" w:eastAsia="Times New Roman" w:hAnsi="Arial" w:cs="Arial"/>
                <w:color w:val="000000"/>
                <w:lang w:val="en-GB"/>
              </w:rPr>
            </w:pPr>
          </w:p>
        </w:tc>
        <w:tc>
          <w:tcPr>
            <w:tcW w:w="1420" w:type="dxa"/>
            <w:tcBorders>
              <w:top w:val="nil"/>
              <w:left w:val="nil"/>
              <w:bottom w:val="nil"/>
              <w:right w:val="nil"/>
            </w:tcBorders>
            <w:shd w:val="clear" w:color="auto" w:fill="auto"/>
            <w:noWrap/>
            <w:vAlign w:val="bottom"/>
            <w:hideMark/>
          </w:tcPr>
          <w:p w14:paraId="47B35DCD" w14:textId="77777777" w:rsidR="00EF1F17" w:rsidRPr="00C33193" w:rsidRDefault="00EF1F17" w:rsidP="000E5EFC">
            <w:pPr>
              <w:rPr>
                <w:rFonts w:ascii="Arial" w:eastAsia="Times New Roman" w:hAnsi="Arial" w:cs="Arial"/>
                <w:color w:val="000000"/>
                <w:lang w:val="en-GB"/>
              </w:rPr>
            </w:pPr>
          </w:p>
        </w:tc>
      </w:tr>
      <w:tr w:rsidR="00EF1F17" w:rsidRPr="00C33193" w14:paraId="7D42DCD0" w14:textId="77777777" w:rsidTr="000E5EFC">
        <w:trPr>
          <w:trHeight w:val="340"/>
        </w:trPr>
        <w:tc>
          <w:tcPr>
            <w:tcW w:w="5578" w:type="dxa"/>
            <w:gridSpan w:val="2"/>
            <w:tcBorders>
              <w:top w:val="nil"/>
              <w:left w:val="nil"/>
              <w:bottom w:val="nil"/>
              <w:right w:val="nil"/>
            </w:tcBorders>
            <w:shd w:val="clear" w:color="auto" w:fill="auto"/>
            <w:noWrap/>
            <w:vAlign w:val="bottom"/>
            <w:hideMark/>
          </w:tcPr>
          <w:p w14:paraId="0A77F05C" w14:textId="77777777" w:rsidR="00EF1F17" w:rsidRPr="00C33193" w:rsidRDefault="00EF1F17" w:rsidP="000E5EFC">
            <w:pPr>
              <w:rPr>
                <w:rFonts w:ascii="Arial" w:eastAsia="Times New Roman" w:hAnsi="Arial" w:cs="Arial"/>
                <w:color w:val="000000"/>
                <w:lang w:val="en-GB"/>
              </w:rPr>
            </w:pPr>
            <w:r w:rsidRPr="00C33193">
              <w:rPr>
                <w:rFonts w:ascii="Arial" w:eastAsia="Times New Roman" w:hAnsi="Arial" w:cs="Arial"/>
                <w:color w:val="000000"/>
                <w:lang w:val="en-GB"/>
              </w:rPr>
              <w:t>CDS = Cambridge Depersonalisation Scale</w:t>
            </w:r>
          </w:p>
        </w:tc>
        <w:tc>
          <w:tcPr>
            <w:tcW w:w="2105" w:type="dxa"/>
            <w:tcBorders>
              <w:top w:val="nil"/>
              <w:left w:val="nil"/>
              <w:bottom w:val="nil"/>
              <w:right w:val="nil"/>
            </w:tcBorders>
            <w:shd w:val="clear" w:color="auto" w:fill="auto"/>
            <w:noWrap/>
            <w:vAlign w:val="bottom"/>
            <w:hideMark/>
          </w:tcPr>
          <w:p w14:paraId="364CBE6F" w14:textId="77777777" w:rsidR="00EF1F17" w:rsidRPr="00C33193" w:rsidRDefault="00EF1F17" w:rsidP="000E5EFC">
            <w:pPr>
              <w:jc w:val="center"/>
              <w:rPr>
                <w:rFonts w:ascii="Arial" w:eastAsia="Times New Roman" w:hAnsi="Arial" w:cs="Arial"/>
                <w:color w:val="000000"/>
                <w:lang w:val="en-GB"/>
              </w:rPr>
            </w:pPr>
          </w:p>
        </w:tc>
        <w:tc>
          <w:tcPr>
            <w:tcW w:w="2192" w:type="dxa"/>
            <w:tcBorders>
              <w:top w:val="nil"/>
              <w:left w:val="nil"/>
              <w:bottom w:val="nil"/>
              <w:right w:val="nil"/>
            </w:tcBorders>
            <w:shd w:val="clear" w:color="auto" w:fill="auto"/>
            <w:noWrap/>
            <w:vAlign w:val="bottom"/>
            <w:hideMark/>
          </w:tcPr>
          <w:p w14:paraId="393266F7" w14:textId="77777777" w:rsidR="00EF1F17" w:rsidRPr="00C33193" w:rsidRDefault="00EF1F17" w:rsidP="000E5EFC">
            <w:pPr>
              <w:jc w:val="center"/>
              <w:rPr>
                <w:rFonts w:ascii="Arial" w:eastAsia="Times New Roman" w:hAnsi="Arial" w:cs="Arial"/>
                <w:color w:val="000000"/>
                <w:lang w:val="en-GB"/>
              </w:rPr>
            </w:pPr>
          </w:p>
        </w:tc>
        <w:tc>
          <w:tcPr>
            <w:tcW w:w="1165" w:type="dxa"/>
            <w:tcBorders>
              <w:top w:val="nil"/>
              <w:left w:val="nil"/>
              <w:bottom w:val="nil"/>
              <w:right w:val="nil"/>
            </w:tcBorders>
            <w:shd w:val="clear" w:color="auto" w:fill="auto"/>
            <w:noWrap/>
            <w:vAlign w:val="bottom"/>
            <w:hideMark/>
          </w:tcPr>
          <w:p w14:paraId="5DA4E5E0" w14:textId="77777777" w:rsidR="00EF1F17" w:rsidRPr="00C33193" w:rsidRDefault="00EF1F17" w:rsidP="000E5EFC">
            <w:pPr>
              <w:jc w:val="center"/>
              <w:rPr>
                <w:rFonts w:ascii="Arial" w:eastAsia="Times New Roman" w:hAnsi="Arial" w:cs="Arial"/>
                <w:color w:val="000000"/>
                <w:lang w:val="en-GB"/>
              </w:rPr>
            </w:pPr>
          </w:p>
        </w:tc>
        <w:tc>
          <w:tcPr>
            <w:tcW w:w="1420" w:type="dxa"/>
            <w:tcBorders>
              <w:top w:val="nil"/>
              <w:left w:val="nil"/>
              <w:bottom w:val="nil"/>
              <w:right w:val="nil"/>
            </w:tcBorders>
            <w:shd w:val="clear" w:color="auto" w:fill="auto"/>
            <w:noWrap/>
            <w:vAlign w:val="bottom"/>
            <w:hideMark/>
          </w:tcPr>
          <w:p w14:paraId="1A139B8B" w14:textId="77777777" w:rsidR="00EF1F17" w:rsidRPr="00C33193" w:rsidRDefault="00EF1F17" w:rsidP="000E5EFC">
            <w:pPr>
              <w:rPr>
                <w:rFonts w:ascii="Arial" w:eastAsia="Times New Roman" w:hAnsi="Arial" w:cs="Arial"/>
                <w:color w:val="000000"/>
                <w:lang w:val="en-GB"/>
              </w:rPr>
            </w:pPr>
          </w:p>
        </w:tc>
      </w:tr>
      <w:tr w:rsidR="00EF1F17" w:rsidRPr="00C33193" w14:paraId="51B3E29C" w14:textId="77777777" w:rsidTr="000E5EFC">
        <w:trPr>
          <w:trHeight w:val="340"/>
        </w:trPr>
        <w:tc>
          <w:tcPr>
            <w:tcW w:w="5578" w:type="dxa"/>
            <w:gridSpan w:val="2"/>
            <w:tcBorders>
              <w:top w:val="nil"/>
              <w:left w:val="nil"/>
              <w:bottom w:val="nil"/>
              <w:right w:val="nil"/>
            </w:tcBorders>
            <w:shd w:val="clear" w:color="auto" w:fill="auto"/>
            <w:noWrap/>
            <w:vAlign w:val="bottom"/>
            <w:hideMark/>
          </w:tcPr>
          <w:p w14:paraId="091E160C" w14:textId="77777777" w:rsidR="00EF1F17" w:rsidRPr="00C33193" w:rsidRDefault="00EF1F17" w:rsidP="000E5EFC">
            <w:pPr>
              <w:rPr>
                <w:rFonts w:ascii="Arial" w:eastAsia="Times New Roman" w:hAnsi="Arial" w:cs="Arial"/>
                <w:color w:val="000000"/>
                <w:lang w:val="en-GB"/>
              </w:rPr>
            </w:pPr>
            <w:r w:rsidRPr="00C33193">
              <w:rPr>
                <w:rFonts w:ascii="Arial" w:eastAsia="Times New Roman" w:hAnsi="Arial" w:cs="Arial"/>
                <w:color w:val="000000"/>
                <w:lang w:val="en-GB"/>
              </w:rPr>
              <w:t>* P-value &lt; 0.05</w:t>
            </w:r>
          </w:p>
        </w:tc>
        <w:tc>
          <w:tcPr>
            <w:tcW w:w="2105" w:type="dxa"/>
            <w:tcBorders>
              <w:top w:val="nil"/>
              <w:left w:val="nil"/>
              <w:bottom w:val="nil"/>
              <w:right w:val="nil"/>
            </w:tcBorders>
            <w:shd w:val="clear" w:color="auto" w:fill="auto"/>
            <w:noWrap/>
            <w:vAlign w:val="bottom"/>
            <w:hideMark/>
          </w:tcPr>
          <w:p w14:paraId="62406ED9" w14:textId="77777777" w:rsidR="00EF1F17" w:rsidRPr="00C33193" w:rsidRDefault="00EF1F17" w:rsidP="000E5EFC">
            <w:pPr>
              <w:rPr>
                <w:rFonts w:ascii="Arial" w:eastAsia="Times New Roman" w:hAnsi="Arial" w:cs="Arial"/>
                <w:color w:val="000000"/>
                <w:lang w:val="en-GB"/>
              </w:rPr>
            </w:pPr>
          </w:p>
        </w:tc>
        <w:tc>
          <w:tcPr>
            <w:tcW w:w="2192" w:type="dxa"/>
            <w:tcBorders>
              <w:top w:val="nil"/>
              <w:left w:val="nil"/>
              <w:bottom w:val="nil"/>
              <w:right w:val="nil"/>
            </w:tcBorders>
            <w:shd w:val="clear" w:color="auto" w:fill="auto"/>
            <w:noWrap/>
            <w:vAlign w:val="bottom"/>
            <w:hideMark/>
          </w:tcPr>
          <w:p w14:paraId="5CE96647" w14:textId="77777777" w:rsidR="00EF1F17" w:rsidRPr="00C33193" w:rsidRDefault="00EF1F17" w:rsidP="000E5EFC">
            <w:pPr>
              <w:rPr>
                <w:rFonts w:ascii="Arial" w:eastAsia="Times New Roman" w:hAnsi="Arial" w:cs="Arial"/>
                <w:color w:val="000000"/>
                <w:lang w:val="en-GB"/>
              </w:rPr>
            </w:pPr>
          </w:p>
        </w:tc>
        <w:tc>
          <w:tcPr>
            <w:tcW w:w="1165" w:type="dxa"/>
            <w:tcBorders>
              <w:top w:val="nil"/>
              <w:left w:val="nil"/>
              <w:bottom w:val="nil"/>
              <w:right w:val="nil"/>
            </w:tcBorders>
            <w:shd w:val="clear" w:color="auto" w:fill="auto"/>
            <w:noWrap/>
            <w:vAlign w:val="bottom"/>
            <w:hideMark/>
          </w:tcPr>
          <w:p w14:paraId="01059DC5" w14:textId="77777777" w:rsidR="00EF1F17" w:rsidRPr="00C33193" w:rsidRDefault="00EF1F17" w:rsidP="000E5EFC">
            <w:pPr>
              <w:rPr>
                <w:rFonts w:ascii="Arial" w:eastAsia="Times New Roman" w:hAnsi="Arial" w:cs="Arial"/>
                <w:color w:val="000000"/>
                <w:lang w:val="en-GB"/>
              </w:rPr>
            </w:pPr>
          </w:p>
        </w:tc>
        <w:tc>
          <w:tcPr>
            <w:tcW w:w="1420" w:type="dxa"/>
            <w:tcBorders>
              <w:top w:val="nil"/>
              <w:left w:val="nil"/>
              <w:bottom w:val="nil"/>
              <w:right w:val="nil"/>
            </w:tcBorders>
            <w:shd w:val="clear" w:color="auto" w:fill="auto"/>
            <w:noWrap/>
            <w:vAlign w:val="bottom"/>
            <w:hideMark/>
          </w:tcPr>
          <w:p w14:paraId="4F82383A" w14:textId="77777777" w:rsidR="00EF1F17" w:rsidRPr="00C33193" w:rsidRDefault="00EF1F17" w:rsidP="000E5EFC">
            <w:pPr>
              <w:rPr>
                <w:rFonts w:ascii="Arial" w:eastAsia="Times New Roman" w:hAnsi="Arial" w:cs="Arial"/>
                <w:color w:val="000000"/>
                <w:lang w:val="en-GB"/>
              </w:rPr>
            </w:pPr>
          </w:p>
        </w:tc>
      </w:tr>
    </w:tbl>
    <w:p w14:paraId="7D09624B" w14:textId="77777777" w:rsidR="00EF1F17" w:rsidRDefault="00EF1F17" w:rsidP="00EF1F17">
      <w:pPr>
        <w:pStyle w:val="Tekstopmerking"/>
        <w:spacing w:line="360" w:lineRule="auto"/>
        <w:rPr>
          <w:rFonts w:ascii="Arial" w:hAnsi="Arial" w:cs="Arial"/>
          <w:color w:val="000000" w:themeColor="text1"/>
          <w:sz w:val="22"/>
          <w:szCs w:val="22"/>
        </w:rPr>
      </w:pPr>
    </w:p>
    <w:p w14:paraId="6C0CDF77" w14:textId="77777777" w:rsidR="00EF1F17" w:rsidRPr="00AC0250" w:rsidRDefault="00EF1F17" w:rsidP="00EF1F17">
      <w:pPr>
        <w:pStyle w:val="Tekstopmerking"/>
        <w:spacing w:line="360" w:lineRule="auto"/>
        <w:rPr>
          <w:rFonts w:ascii="Arial" w:hAnsi="Arial" w:cs="Arial"/>
          <w:color w:val="000000" w:themeColor="text1"/>
          <w:sz w:val="22"/>
          <w:szCs w:val="22"/>
        </w:rPr>
      </w:pPr>
      <w:r>
        <w:rPr>
          <w:rFonts w:ascii="Arial" w:hAnsi="Arial" w:cs="Arial"/>
          <w:color w:val="000000" w:themeColor="text1"/>
          <w:sz w:val="22"/>
          <w:szCs w:val="22"/>
        </w:rPr>
        <w:br w:type="column"/>
      </w:r>
    </w:p>
    <w:tbl>
      <w:tblPr>
        <w:tblW w:w="12840" w:type="dxa"/>
        <w:tblInd w:w="93" w:type="dxa"/>
        <w:tblLook w:val="04A0" w:firstRow="1" w:lastRow="0" w:firstColumn="1" w:lastColumn="0" w:noHBand="0" w:noVBand="1"/>
      </w:tblPr>
      <w:tblGrid>
        <w:gridCol w:w="2280"/>
        <w:gridCol w:w="1420"/>
        <w:gridCol w:w="1420"/>
        <w:gridCol w:w="1420"/>
        <w:gridCol w:w="2000"/>
        <w:gridCol w:w="2060"/>
        <w:gridCol w:w="2240"/>
      </w:tblGrid>
      <w:tr w:rsidR="00EF1F17" w:rsidRPr="00C33193" w14:paraId="3C3A9F49" w14:textId="77777777" w:rsidTr="000E5EFC">
        <w:trPr>
          <w:trHeight w:val="340"/>
        </w:trPr>
        <w:tc>
          <w:tcPr>
            <w:tcW w:w="12840" w:type="dxa"/>
            <w:gridSpan w:val="7"/>
            <w:tcBorders>
              <w:top w:val="nil"/>
              <w:left w:val="nil"/>
              <w:bottom w:val="nil"/>
              <w:right w:val="nil"/>
            </w:tcBorders>
            <w:shd w:val="clear" w:color="auto" w:fill="auto"/>
            <w:noWrap/>
            <w:vAlign w:val="bottom"/>
            <w:hideMark/>
          </w:tcPr>
          <w:p w14:paraId="44E5BAC3" w14:textId="14CCF652" w:rsidR="00EF1F17" w:rsidRPr="00C33193" w:rsidRDefault="00EF1F17" w:rsidP="000E5EFC">
            <w:pPr>
              <w:rPr>
                <w:rFonts w:ascii="Arial" w:eastAsia="Times New Roman" w:hAnsi="Arial" w:cs="Arial"/>
                <w:b/>
                <w:bCs/>
                <w:color w:val="000000"/>
                <w:lang w:val="en-GB"/>
              </w:rPr>
            </w:pPr>
            <w:r w:rsidRPr="00C33193">
              <w:rPr>
                <w:rFonts w:ascii="Arial" w:eastAsia="Times New Roman" w:hAnsi="Arial" w:cs="Arial"/>
                <w:b/>
                <w:bCs/>
                <w:color w:val="000000"/>
                <w:lang w:val="en-GB"/>
              </w:rPr>
              <w:t xml:space="preserve">Table 2: Experience trauma scores during different stages of childhood in DID patients. </w:t>
            </w:r>
          </w:p>
        </w:tc>
      </w:tr>
      <w:tr w:rsidR="00EF1F17" w:rsidRPr="00C33193" w14:paraId="43FA302F" w14:textId="77777777" w:rsidTr="000E5EFC">
        <w:trPr>
          <w:trHeight w:val="340"/>
        </w:trPr>
        <w:tc>
          <w:tcPr>
            <w:tcW w:w="2280" w:type="dxa"/>
            <w:tcBorders>
              <w:top w:val="single" w:sz="4" w:space="0" w:color="auto"/>
              <w:left w:val="single" w:sz="4" w:space="0" w:color="auto"/>
              <w:bottom w:val="nil"/>
              <w:right w:val="nil"/>
            </w:tcBorders>
            <w:shd w:val="clear" w:color="auto" w:fill="auto"/>
            <w:vAlign w:val="bottom"/>
            <w:hideMark/>
          </w:tcPr>
          <w:p w14:paraId="2FFD8232" w14:textId="77777777" w:rsidR="00EF1F17" w:rsidRPr="00C33193" w:rsidRDefault="00EF1F17" w:rsidP="000E5EFC">
            <w:pPr>
              <w:rPr>
                <w:rFonts w:ascii="Arial" w:eastAsia="Times New Roman" w:hAnsi="Arial" w:cs="Arial"/>
                <w:color w:val="000000"/>
                <w:lang w:val="en-GB"/>
              </w:rPr>
            </w:pPr>
            <w:r w:rsidRPr="00C33193">
              <w:rPr>
                <w:rFonts w:ascii="Arial" w:eastAsia="Times New Roman" w:hAnsi="Arial" w:cs="Arial"/>
                <w:color w:val="000000"/>
                <w:lang w:val="en-GB"/>
              </w:rPr>
              <w:t> </w:t>
            </w:r>
          </w:p>
        </w:tc>
        <w:tc>
          <w:tcPr>
            <w:tcW w:w="426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2B78875D"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Mean (SD)</w:t>
            </w:r>
          </w:p>
        </w:tc>
        <w:tc>
          <w:tcPr>
            <w:tcW w:w="6300" w:type="dxa"/>
            <w:gridSpan w:val="3"/>
            <w:tcBorders>
              <w:top w:val="single" w:sz="4" w:space="0" w:color="auto"/>
              <w:left w:val="nil"/>
              <w:bottom w:val="single" w:sz="4" w:space="0" w:color="auto"/>
              <w:right w:val="single" w:sz="4" w:space="0" w:color="000000"/>
            </w:tcBorders>
            <w:shd w:val="clear" w:color="auto" w:fill="auto"/>
            <w:vAlign w:val="bottom"/>
            <w:hideMark/>
          </w:tcPr>
          <w:p w14:paraId="49EDD466"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Paired t-test comparisons: P-values</w:t>
            </w:r>
          </w:p>
        </w:tc>
      </w:tr>
      <w:tr w:rsidR="00EF1F17" w:rsidRPr="00C33193" w14:paraId="15310449" w14:textId="77777777" w:rsidTr="000E5EFC">
        <w:trPr>
          <w:trHeight w:val="340"/>
        </w:trPr>
        <w:tc>
          <w:tcPr>
            <w:tcW w:w="2280" w:type="dxa"/>
            <w:tcBorders>
              <w:top w:val="nil"/>
              <w:left w:val="single" w:sz="4" w:space="0" w:color="auto"/>
              <w:bottom w:val="single" w:sz="4" w:space="0" w:color="000000"/>
              <w:right w:val="single" w:sz="4" w:space="0" w:color="auto"/>
            </w:tcBorders>
            <w:shd w:val="clear" w:color="auto" w:fill="auto"/>
            <w:noWrap/>
            <w:vAlign w:val="bottom"/>
            <w:hideMark/>
          </w:tcPr>
          <w:p w14:paraId="701760D3"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DID (n=28)</w:t>
            </w:r>
          </w:p>
        </w:tc>
        <w:tc>
          <w:tcPr>
            <w:tcW w:w="1420" w:type="dxa"/>
            <w:tcBorders>
              <w:top w:val="nil"/>
              <w:left w:val="nil"/>
              <w:bottom w:val="single" w:sz="4" w:space="0" w:color="auto"/>
              <w:right w:val="nil"/>
            </w:tcBorders>
            <w:shd w:val="clear" w:color="auto" w:fill="auto"/>
            <w:vAlign w:val="bottom"/>
            <w:hideMark/>
          </w:tcPr>
          <w:p w14:paraId="4BEA721E"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Age 0-6</w:t>
            </w:r>
          </w:p>
        </w:tc>
        <w:tc>
          <w:tcPr>
            <w:tcW w:w="1420" w:type="dxa"/>
            <w:tcBorders>
              <w:top w:val="nil"/>
              <w:left w:val="nil"/>
              <w:bottom w:val="single" w:sz="4" w:space="0" w:color="auto"/>
              <w:right w:val="nil"/>
            </w:tcBorders>
            <w:shd w:val="clear" w:color="auto" w:fill="auto"/>
            <w:vAlign w:val="bottom"/>
            <w:hideMark/>
          </w:tcPr>
          <w:p w14:paraId="7C28BF4A"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Age 7-12</w:t>
            </w:r>
          </w:p>
        </w:tc>
        <w:tc>
          <w:tcPr>
            <w:tcW w:w="1420" w:type="dxa"/>
            <w:tcBorders>
              <w:top w:val="nil"/>
              <w:left w:val="nil"/>
              <w:bottom w:val="single" w:sz="4" w:space="0" w:color="auto"/>
              <w:right w:val="single" w:sz="4" w:space="0" w:color="auto"/>
            </w:tcBorders>
            <w:shd w:val="clear" w:color="auto" w:fill="auto"/>
            <w:vAlign w:val="bottom"/>
            <w:hideMark/>
          </w:tcPr>
          <w:p w14:paraId="423F6448"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Age 13-18</w:t>
            </w:r>
          </w:p>
        </w:tc>
        <w:tc>
          <w:tcPr>
            <w:tcW w:w="2000" w:type="dxa"/>
            <w:tcBorders>
              <w:top w:val="nil"/>
              <w:left w:val="nil"/>
              <w:bottom w:val="single" w:sz="4" w:space="0" w:color="auto"/>
              <w:right w:val="nil"/>
            </w:tcBorders>
            <w:shd w:val="clear" w:color="auto" w:fill="auto"/>
            <w:vAlign w:val="bottom"/>
            <w:hideMark/>
          </w:tcPr>
          <w:p w14:paraId="14F6F54D"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Age 0-6 vs. 7-12</w:t>
            </w:r>
          </w:p>
        </w:tc>
        <w:tc>
          <w:tcPr>
            <w:tcW w:w="2060" w:type="dxa"/>
            <w:tcBorders>
              <w:top w:val="nil"/>
              <w:left w:val="nil"/>
              <w:bottom w:val="single" w:sz="4" w:space="0" w:color="auto"/>
              <w:right w:val="nil"/>
            </w:tcBorders>
            <w:shd w:val="clear" w:color="auto" w:fill="auto"/>
            <w:vAlign w:val="bottom"/>
            <w:hideMark/>
          </w:tcPr>
          <w:p w14:paraId="612D47F6"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Age 0-6 vs. 13-18</w:t>
            </w:r>
          </w:p>
        </w:tc>
        <w:tc>
          <w:tcPr>
            <w:tcW w:w="2240" w:type="dxa"/>
            <w:tcBorders>
              <w:top w:val="nil"/>
              <w:left w:val="nil"/>
              <w:bottom w:val="single" w:sz="4" w:space="0" w:color="auto"/>
              <w:right w:val="single" w:sz="4" w:space="0" w:color="auto"/>
            </w:tcBorders>
            <w:shd w:val="clear" w:color="auto" w:fill="auto"/>
            <w:vAlign w:val="bottom"/>
            <w:hideMark/>
          </w:tcPr>
          <w:p w14:paraId="212EA307"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Age 7-12 vs. 13-18</w:t>
            </w:r>
          </w:p>
        </w:tc>
      </w:tr>
      <w:tr w:rsidR="00EF1F17" w:rsidRPr="00C33193" w14:paraId="663A38DB" w14:textId="77777777" w:rsidTr="000E5EFC">
        <w:trPr>
          <w:trHeight w:val="340"/>
        </w:trPr>
        <w:tc>
          <w:tcPr>
            <w:tcW w:w="2280" w:type="dxa"/>
            <w:tcBorders>
              <w:top w:val="nil"/>
              <w:left w:val="single" w:sz="4" w:space="0" w:color="auto"/>
              <w:bottom w:val="nil"/>
              <w:right w:val="nil"/>
            </w:tcBorders>
            <w:shd w:val="clear" w:color="auto" w:fill="auto"/>
            <w:vAlign w:val="bottom"/>
            <w:hideMark/>
          </w:tcPr>
          <w:p w14:paraId="147E159A" w14:textId="77777777" w:rsidR="00EF1F17" w:rsidRPr="00C33193" w:rsidRDefault="00EF1F17" w:rsidP="000E5EFC">
            <w:pPr>
              <w:rPr>
                <w:rFonts w:ascii="Arial" w:eastAsia="Times New Roman" w:hAnsi="Arial" w:cs="Arial"/>
                <w:i/>
                <w:iCs/>
                <w:color w:val="000000"/>
                <w:lang w:val="en-GB"/>
              </w:rPr>
            </w:pPr>
            <w:r w:rsidRPr="00C33193">
              <w:rPr>
                <w:rFonts w:ascii="Arial" w:eastAsia="Times New Roman" w:hAnsi="Arial" w:cs="Arial"/>
                <w:i/>
                <w:iCs/>
                <w:color w:val="000000"/>
                <w:lang w:val="en-GB"/>
              </w:rPr>
              <w:t>Emotional neglect</w:t>
            </w:r>
          </w:p>
        </w:tc>
        <w:tc>
          <w:tcPr>
            <w:tcW w:w="1420" w:type="dxa"/>
            <w:tcBorders>
              <w:top w:val="nil"/>
              <w:left w:val="nil"/>
              <w:bottom w:val="nil"/>
              <w:right w:val="nil"/>
            </w:tcBorders>
            <w:shd w:val="clear" w:color="auto" w:fill="auto"/>
            <w:vAlign w:val="bottom"/>
            <w:hideMark/>
          </w:tcPr>
          <w:p w14:paraId="440F6772"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5.00 (0.00)</w:t>
            </w:r>
          </w:p>
        </w:tc>
        <w:tc>
          <w:tcPr>
            <w:tcW w:w="1420" w:type="dxa"/>
            <w:tcBorders>
              <w:top w:val="nil"/>
              <w:left w:val="nil"/>
              <w:bottom w:val="nil"/>
              <w:right w:val="nil"/>
            </w:tcBorders>
            <w:shd w:val="clear" w:color="auto" w:fill="auto"/>
            <w:vAlign w:val="bottom"/>
            <w:hideMark/>
          </w:tcPr>
          <w:p w14:paraId="1E006A97"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4.00 (0.00)</w:t>
            </w:r>
          </w:p>
        </w:tc>
        <w:tc>
          <w:tcPr>
            <w:tcW w:w="1420" w:type="dxa"/>
            <w:tcBorders>
              <w:top w:val="nil"/>
              <w:left w:val="nil"/>
              <w:bottom w:val="nil"/>
              <w:right w:val="nil"/>
            </w:tcBorders>
            <w:shd w:val="clear" w:color="auto" w:fill="auto"/>
            <w:vAlign w:val="bottom"/>
            <w:hideMark/>
          </w:tcPr>
          <w:p w14:paraId="1105E518"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3.71 (1.05)</w:t>
            </w:r>
          </w:p>
        </w:tc>
        <w:tc>
          <w:tcPr>
            <w:tcW w:w="2000" w:type="dxa"/>
            <w:tcBorders>
              <w:top w:val="nil"/>
              <w:left w:val="nil"/>
              <w:bottom w:val="nil"/>
              <w:right w:val="nil"/>
            </w:tcBorders>
            <w:shd w:val="clear" w:color="auto" w:fill="auto"/>
            <w:vAlign w:val="bottom"/>
            <w:hideMark/>
          </w:tcPr>
          <w:p w14:paraId="2A329313"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x</w:t>
            </w:r>
          </w:p>
        </w:tc>
        <w:tc>
          <w:tcPr>
            <w:tcW w:w="2060" w:type="dxa"/>
            <w:tcBorders>
              <w:top w:val="nil"/>
              <w:left w:val="nil"/>
              <w:bottom w:val="nil"/>
              <w:right w:val="nil"/>
            </w:tcBorders>
            <w:shd w:val="clear" w:color="auto" w:fill="auto"/>
            <w:vAlign w:val="bottom"/>
            <w:hideMark/>
          </w:tcPr>
          <w:p w14:paraId="71411312"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&lt;0.001*</w:t>
            </w:r>
          </w:p>
        </w:tc>
        <w:tc>
          <w:tcPr>
            <w:tcW w:w="2240" w:type="dxa"/>
            <w:tcBorders>
              <w:top w:val="nil"/>
              <w:left w:val="nil"/>
              <w:bottom w:val="nil"/>
              <w:right w:val="single" w:sz="4" w:space="0" w:color="auto"/>
            </w:tcBorders>
            <w:shd w:val="clear" w:color="auto" w:fill="auto"/>
            <w:vAlign w:val="bottom"/>
            <w:hideMark/>
          </w:tcPr>
          <w:p w14:paraId="68858B34"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0.16</w:t>
            </w:r>
          </w:p>
        </w:tc>
      </w:tr>
      <w:tr w:rsidR="00EF1F17" w:rsidRPr="00C33193" w14:paraId="2E192805" w14:textId="77777777" w:rsidTr="000E5EFC">
        <w:trPr>
          <w:trHeight w:val="340"/>
        </w:trPr>
        <w:tc>
          <w:tcPr>
            <w:tcW w:w="2280" w:type="dxa"/>
            <w:tcBorders>
              <w:top w:val="nil"/>
              <w:left w:val="single" w:sz="4" w:space="0" w:color="auto"/>
              <w:bottom w:val="nil"/>
              <w:right w:val="nil"/>
            </w:tcBorders>
            <w:shd w:val="clear" w:color="auto" w:fill="auto"/>
            <w:vAlign w:val="bottom"/>
            <w:hideMark/>
          </w:tcPr>
          <w:p w14:paraId="62A42A22" w14:textId="77777777" w:rsidR="00EF1F17" w:rsidRPr="00C33193" w:rsidRDefault="00EF1F17" w:rsidP="000E5EFC">
            <w:pPr>
              <w:rPr>
                <w:rFonts w:ascii="Arial" w:eastAsia="Times New Roman" w:hAnsi="Arial" w:cs="Arial"/>
                <w:i/>
                <w:iCs/>
                <w:color w:val="000000"/>
                <w:lang w:val="en-GB"/>
              </w:rPr>
            </w:pPr>
            <w:r w:rsidRPr="00C33193">
              <w:rPr>
                <w:rFonts w:ascii="Arial" w:eastAsia="Times New Roman" w:hAnsi="Arial" w:cs="Arial"/>
                <w:i/>
                <w:iCs/>
                <w:color w:val="000000"/>
                <w:lang w:val="en-GB"/>
              </w:rPr>
              <w:t>Emotional abuse</w:t>
            </w:r>
          </w:p>
        </w:tc>
        <w:tc>
          <w:tcPr>
            <w:tcW w:w="1420" w:type="dxa"/>
            <w:tcBorders>
              <w:top w:val="nil"/>
              <w:left w:val="nil"/>
              <w:bottom w:val="nil"/>
              <w:right w:val="nil"/>
            </w:tcBorders>
            <w:shd w:val="clear" w:color="auto" w:fill="auto"/>
            <w:vAlign w:val="bottom"/>
            <w:hideMark/>
          </w:tcPr>
          <w:p w14:paraId="4EF14EDD"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4.75 (0.97)</w:t>
            </w:r>
          </w:p>
        </w:tc>
        <w:tc>
          <w:tcPr>
            <w:tcW w:w="1420" w:type="dxa"/>
            <w:tcBorders>
              <w:top w:val="nil"/>
              <w:left w:val="nil"/>
              <w:bottom w:val="nil"/>
              <w:right w:val="nil"/>
            </w:tcBorders>
            <w:shd w:val="clear" w:color="auto" w:fill="auto"/>
            <w:vAlign w:val="bottom"/>
            <w:hideMark/>
          </w:tcPr>
          <w:p w14:paraId="1A6B5F6F"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3.79 (0.79)</w:t>
            </w:r>
          </w:p>
        </w:tc>
        <w:tc>
          <w:tcPr>
            <w:tcW w:w="1420" w:type="dxa"/>
            <w:tcBorders>
              <w:top w:val="nil"/>
              <w:left w:val="nil"/>
              <w:bottom w:val="nil"/>
              <w:right w:val="nil"/>
            </w:tcBorders>
            <w:shd w:val="clear" w:color="auto" w:fill="auto"/>
            <w:vAlign w:val="bottom"/>
            <w:hideMark/>
          </w:tcPr>
          <w:p w14:paraId="2438F56D"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3.75 (0.84)</w:t>
            </w:r>
          </w:p>
        </w:tc>
        <w:tc>
          <w:tcPr>
            <w:tcW w:w="2000" w:type="dxa"/>
            <w:tcBorders>
              <w:top w:val="nil"/>
              <w:left w:val="nil"/>
              <w:bottom w:val="nil"/>
              <w:right w:val="nil"/>
            </w:tcBorders>
            <w:shd w:val="clear" w:color="auto" w:fill="auto"/>
            <w:vAlign w:val="bottom"/>
            <w:hideMark/>
          </w:tcPr>
          <w:p w14:paraId="382C10BE"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&lt;0.001*</w:t>
            </w:r>
          </w:p>
        </w:tc>
        <w:tc>
          <w:tcPr>
            <w:tcW w:w="2060" w:type="dxa"/>
            <w:tcBorders>
              <w:top w:val="nil"/>
              <w:left w:val="nil"/>
              <w:bottom w:val="nil"/>
              <w:right w:val="nil"/>
            </w:tcBorders>
            <w:shd w:val="clear" w:color="auto" w:fill="auto"/>
            <w:vAlign w:val="bottom"/>
            <w:hideMark/>
          </w:tcPr>
          <w:p w14:paraId="0D8B2111"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&lt;0.001*</w:t>
            </w:r>
          </w:p>
        </w:tc>
        <w:tc>
          <w:tcPr>
            <w:tcW w:w="2240" w:type="dxa"/>
            <w:tcBorders>
              <w:top w:val="nil"/>
              <w:left w:val="nil"/>
              <w:bottom w:val="nil"/>
              <w:right w:val="single" w:sz="4" w:space="0" w:color="auto"/>
            </w:tcBorders>
            <w:shd w:val="clear" w:color="auto" w:fill="auto"/>
            <w:vAlign w:val="bottom"/>
            <w:hideMark/>
          </w:tcPr>
          <w:p w14:paraId="2D804D10"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0.79</w:t>
            </w:r>
          </w:p>
        </w:tc>
      </w:tr>
      <w:tr w:rsidR="00EF1F17" w:rsidRPr="00C33193" w14:paraId="7E34067B" w14:textId="77777777" w:rsidTr="000E5EFC">
        <w:trPr>
          <w:trHeight w:val="340"/>
        </w:trPr>
        <w:tc>
          <w:tcPr>
            <w:tcW w:w="2280" w:type="dxa"/>
            <w:tcBorders>
              <w:top w:val="nil"/>
              <w:left w:val="single" w:sz="4" w:space="0" w:color="auto"/>
              <w:bottom w:val="nil"/>
              <w:right w:val="nil"/>
            </w:tcBorders>
            <w:shd w:val="clear" w:color="auto" w:fill="auto"/>
            <w:vAlign w:val="bottom"/>
            <w:hideMark/>
          </w:tcPr>
          <w:p w14:paraId="16210D0E" w14:textId="77777777" w:rsidR="00EF1F17" w:rsidRPr="00C33193" w:rsidRDefault="00EF1F17" w:rsidP="000E5EFC">
            <w:pPr>
              <w:rPr>
                <w:rFonts w:ascii="Arial" w:eastAsia="Times New Roman" w:hAnsi="Arial" w:cs="Arial"/>
                <w:i/>
                <w:iCs/>
                <w:color w:val="000000"/>
                <w:lang w:val="en-GB"/>
              </w:rPr>
            </w:pPr>
            <w:r w:rsidRPr="00C33193">
              <w:rPr>
                <w:rFonts w:ascii="Arial" w:eastAsia="Times New Roman" w:hAnsi="Arial" w:cs="Arial"/>
                <w:i/>
                <w:iCs/>
                <w:color w:val="000000"/>
                <w:lang w:val="en-GB"/>
              </w:rPr>
              <w:t>Physical abuse</w:t>
            </w:r>
          </w:p>
        </w:tc>
        <w:tc>
          <w:tcPr>
            <w:tcW w:w="1420" w:type="dxa"/>
            <w:tcBorders>
              <w:top w:val="nil"/>
              <w:left w:val="nil"/>
              <w:bottom w:val="nil"/>
              <w:right w:val="nil"/>
            </w:tcBorders>
            <w:shd w:val="clear" w:color="auto" w:fill="auto"/>
            <w:vAlign w:val="bottom"/>
            <w:hideMark/>
          </w:tcPr>
          <w:p w14:paraId="0CFE7F45"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4.75 (1.00)</w:t>
            </w:r>
          </w:p>
        </w:tc>
        <w:tc>
          <w:tcPr>
            <w:tcW w:w="1420" w:type="dxa"/>
            <w:tcBorders>
              <w:top w:val="nil"/>
              <w:left w:val="nil"/>
              <w:bottom w:val="nil"/>
              <w:right w:val="nil"/>
            </w:tcBorders>
            <w:shd w:val="clear" w:color="auto" w:fill="auto"/>
            <w:vAlign w:val="bottom"/>
            <w:hideMark/>
          </w:tcPr>
          <w:p w14:paraId="1A6541DA"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3.82 (0.86)</w:t>
            </w:r>
          </w:p>
        </w:tc>
        <w:tc>
          <w:tcPr>
            <w:tcW w:w="1420" w:type="dxa"/>
            <w:tcBorders>
              <w:top w:val="nil"/>
              <w:left w:val="nil"/>
              <w:bottom w:val="nil"/>
              <w:right w:val="nil"/>
            </w:tcBorders>
            <w:shd w:val="clear" w:color="auto" w:fill="auto"/>
            <w:vAlign w:val="bottom"/>
            <w:hideMark/>
          </w:tcPr>
          <w:p w14:paraId="399BFC1F"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3.57 (1.26)</w:t>
            </w:r>
          </w:p>
        </w:tc>
        <w:tc>
          <w:tcPr>
            <w:tcW w:w="2000" w:type="dxa"/>
            <w:tcBorders>
              <w:top w:val="nil"/>
              <w:left w:val="nil"/>
              <w:bottom w:val="nil"/>
              <w:right w:val="nil"/>
            </w:tcBorders>
            <w:shd w:val="clear" w:color="auto" w:fill="auto"/>
            <w:vAlign w:val="bottom"/>
            <w:hideMark/>
          </w:tcPr>
          <w:p w14:paraId="30240662"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&lt;0.001*</w:t>
            </w:r>
          </w:p>
        </w:tc>
        <w:tc>
          <w:tcPr>
            <w:tcW w:w="2060" w:type="dxa"/>
            <w:tcBorders>
              <w:top w:val="nil"/>
              <w:left w:val="nil"/>
              <w:bottom w:val="nil"/>
              <w:right w:val="nil"/>
            </w:tcBorders>
            <w:shd w:val="clear" w:color="auto" w:fill="auto"/>
            <w:vAlign w:val="bottom"/>
            <w:hideMark/>
          </w:tcPr>
          <w:p w14:paraId="71159E43"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&lt;0.001*</w:t>
            </w:r>
          </w:p>
        </w:tc>
        <w:tc>
          <w:tcPr>
            <w:tcW w:w="2240" w:type="dxa"/>
            <w:tcBorders>
              <w:top w:val="nil"/>
              <w:left w:val="nil"/>
              <w:bottom w:val="nil"/>
              <w:right w:val="single" w:sz="4" w:space="0" w:color="auto"/>
            </w:tcBorders>
            <w:shd w:val="clear" w:color="auto" w:fill="auto"/>
            <w:vAlign w:val="bottom"/>
            <w:hideMark/>
          </w:tcPr>
          <w:p w14:paraId="6565672D"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0.13</w:t>
            </w:r>
          </w:p>
        </w:tc>
      </w:tr>
      <w:tr w:rsidR="00EF1F17" w:rsidRPr="00C33193" w14:paraId="41424507" w14:textId="77777777" w:rsidTr="000E5EFC">
        <w:trPr>
          <w:trHeight w:val="340"/>
        </w:trPr>
        <w:tc>
          <w:tcPr>
            <w:tcW w:w="2280" w:type="dxa"/>
            <w:tcBorders>
              <w:top w:val="nil"/>
              <w:left w:val="single" w:sz="4" w:space="0" w:color="auto"/>
              <w:bottom w:val="nil"/>
              <w:right w:val="nil"/>
            </w:tcBorders>
            <w:shd w:val="clear" w:color="auto" w:fill="auto"/>
            <w:vAlign w:val="bottom"/>
            <w:hideMark/>
          </w:tcPr>
          <w:p w14:paraId="2CE9946C" w14:textId="77777777" w:rsidR="00EF1F17" w:rsidRPr="00C33193" w:rsidRDefault="00EF1F17" w:rsidP="000E5EFC">
            <w:pPr>
              <w:rPr>
                <w:rFonts w:ascii="Arial" w:eastAsia="Times New Roman" w:hAnsi="Arial" w:cs="Arial"/>
                <w:i/>
                <w:iCs/>
                <w:color w:val="000000"/>
                <w:lang w:val="en-GB"/>
              </w:rPr>
            </w:pPr>
            <w:r w:rsidRPr="00C33193">
              <w:rPr>
                <w:rFonts w:ascii="Arial" w:eastAsia="Times New Roman" w:hAnsi="Arial" w:cs="Arial"/>
                <w:i/>
                <w:iCs/>
                <w:color w:val="000000"/>
                <w:lang w:val="en-GB"/>
              </w:rPr>
              <w:t>Sexual harassment</w:t>
            </w:r>
          </w:p>
        </w:tc>
        <w:tc>
          <w:tcPr>
            <w:tcW w:w="1420" w:type="dxa"/>
            <w:tcBorders>
              <w:top w:val="nil"/>
              <w:left w:val="nil"/>
              <w:bottom w:val="nil"/>
              <w:right w:val="nil"/>
            </w:tcBorders>
            <w:shd w:val="clear" w:color="auto" w:fill="auto"/>
            <w:vAlign w:val="bottom"/>
            <w:hideMark/>
          </w:tcPr>
          <w:p w14:paraId="17EFB0E7"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3.57 (1.97)</w:t>
            </w:r>
          </w:p>
        </w:tc>
        <w:tc>
          <w:tcPr>
            <w:tcW w:w="1420" w:type="dxa"/>
            <w:tcBorders>
              <w:top w:val="nil"/>
              <w:left w:val="nil"/>
              <w:bottom w:val="nil"/>
              <w:right w:val="nil"/>
            </w:tcBorders>
            <w:shd w:val="clear" w:color="auto" w:fill="auto"/>
            <w:vAlign w:val="bottom"/>
            <w:hideMark/>
          </w:tcPr>
          <w:p w14:paraId="61625433"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2.79 (1.57)</w:t>
            </w:r>
          </w:p>
        </w:tc>
        <w:tc>
          <w:tcPr>
            <w:tcW w:w="1420" w:type="dxa"/>
            <w:tcBorders>
              <w:top w:val="nil"/>
              <w:left w:val="nil"/>
              <w:bottom w:val="nil"/>
              <w:right w:val="nil"/>
            </w:tcBorders>
            <w:shd w:val="clear" w:color="auto" w:fill="auto"/>
            <w:vAlign w:val="bottom"/>
            <w:hideMark/>
          </w:tcPr>
          <w:p w14:paraId="144510E8"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2.89 (1.47)</w:t>
            </w:r>
          </w:p>
        </w:tc>
        <w:tc>
          <w:tcPr>
            <w:tcW w:w="2000" w:type="dxa"/>
            <w:tcBorders>
              <w:top w:val="nil"/>
              <w:left w:val="nil"/>
              <w:bottom w:val="nil"/>
              <w:right w:val="nil"/>
            </w:tcBorders>
            <w:shd w:val="clear" w:color="auto" w:fill="auto"/>
            <w:vAlign w:val="bottom"/>
            <w:hideMark/>
          </w:tcPr>
          <w:p w14:paraId="38A648BB"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&lt;0.001*</w:t>
            </w:r>
          </w:p>
        </w:tc>
        <w:tc>
          <w:tcPr>
            <w:tcW w:w="2060" w:type="dxa"/>
            <w:tcBorders>
              <w:top w:val="nil"/>
              <w:left w:val="nil"/>
              <w:bottom w:val="nil"/>
              <w:right w:val="nil"/>
            </w:tcBorders>
            <w:shd w:val="clear" w:color="auto" w:fill="auto"/>
            <w:vAlign w:val="bottom"/>
            <w:hideMark/>
          </w:tcPr>
          <w:p w14:paraId="5E410D77"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0.008*</w:t>
            </w:r>
          </w:p>
        </w:tc>
        <w:tc>
          <w:tcPr>
            <w:tcW w:w="2240" w:type="dxa"/>
            <w:tcBorders>
              <w:top w:val="nil"/>
              <w:left w:val="nil"/>
              <w:bottom w:val="nil"/>
              <w:right w:val="single" w:sz="4" w:space="0" w:color="auto"/>
            </w:tcBorders>
            <w:shd w:val="clear" w:color="auto" w:fill="auto"/>
            <w:vAlign w:val="bottom"/>
            <w:hideMark/>
          </w:tcPr>
          <w:p w14:paraId="00AE7EC7"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0.33</w:t>
            </w:r>
          </w:p>
        </w:tc>
      </w:tr>
      <w:tr w:rsidR="00EF1F17" w:rsidRPr="00C33193" w14:paraId="0EC4C6FC" w14:textId="77777777" w:rsidTr="000E5EFC">
        <w:trPr>
          <w:trHeight w:val="340"/>
        </w:trPr>
        <w:tc>
          <w:tcPr>
            <w:tcW w:w="2280" w:type="dxa"/>
            <w:tcBorders>
              <w:top w:val="nil"/>
              <w:left w:val="single" w:sz="4" w:space="0" w:color="auto"/>
              <w:bottom w:val="single" w:sz="4" w:space="0" w:color="auto"/>
              <w:right w:val="nil"/>
            </w:tcBorders>
            <w:shd w:val="clear" w:color="auto" w:fill="auto"/>
            <w:vAlign w:val="bottom"/>
            <w:hideMark/>
          </w:tcPr>
          <w:p w14:paraId="265EE1E1" w14:textId="77777777" w:rsidR="00EF1F17" w:rsidRPr="00C33193" w:rsidRDefault="00EF1F17" w:rsidP="000E5EFC">
            <w:pPr>
              <w:rPr>
                <w:rFonts w:ascii="Arial" w:eastAsia="Times New Roman" w:hAnsi="Arial" w:cs="Arial"/>
                <w:i/>
                <w:iCs/>
                <w:color w:val="000000"/>
                <w:lang w:val="en-GB"/>
              </w:rPr>
            </w:pPr>
            <w:r w:rsidRPr="00C33193">
              <w:rPr>
                <w:rFonts w:ascii="Arial" w:eastAsia="Times New Roman" w:hAnsi="Arial" w:cs="Arial"/>
                <w:i/>
                <w:iCs/>
                <w:color w:val="000000"/>
                <w:lang w:val="en-GB"/>
              </w:rPr>
              <w:t>Sexual abuse</w:t>
            </w:r>
          </w:p>
        </w:tc>
        <w:tc>
          <w:tcPr>
            <w:tcW w:w="1420" w:type="dxa"/>
            <w:tcBorders>
              <w:top w:val="nil"/>
              <w:left w:val="nil"/>
              <w:bottom w:val="single" w:sz="4" w:space="0" w:color="auto"/>
              <w:right w:val="nil"/>
            </w:tcBorders>
            <w:shd w:val="clear" w:color="auto" w:fill="auto"/>
            <w:vAlign w:val="bottom"/>
            <w:hideMark/>
          </w:tcPr>
          <w:p w14:paraId="210C4CDB"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4.36 (1.57)</w:t>
            </w:r>
          </w:p>
        </w:tc>
        <w:tc>
          <w:tcPr>
            <w:tcW w:w="1420" w:type="dxa"/>
            <w:tcBorders>
              <w:top w:val="nil"/>
              <w:left w:val="nil"/>
              <w:bottom w:val="single" w:sz="4" w:space="0" w:color="auto"/>
              <w:right w:val="nil"/>
            </w:tcBorders>
            <w:shd w:val="clear" w:color="auto" w:fill="auto"/>
            <w:vAlign w:val="bottom"/>
            <w:hideMark/>
          </w:tcPr>
          <w:p w14:paraId="6FED3869"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3.21 (1.55)</w:t>
            </w:r>
          </w:p>
        </w:tc>
        <w:tc>
          <w:tcPr>
            <w:tcW w:w="1420" w:type="dxa"/>
            <w:tcBorders>
              <w:top w:val="nil"/>
              <w:left w:val="nil"/>
              <w:bottom w:val="single" w:sz="4" w:space="0" w:color="auto"/>
              <w:right w:val="nil"/>
            </w:tcBorders>
            <w:shd w:val="clear" w:color="auto" w:fill="auto"/>
            <w:vAlign w:val="bottom"/>
            <w:hideMark/>
          </w:tcPr>
          <w:p w14:paraId="7A99FF97"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3.18 (1.54)</w:t>
            </w:r>
          </w:p>
        </w:tc>
        <w:tc>
          <w:tcPr>
            <w:tcW w:w="2000" w:type="dxa"/>
            <w:tcBorders>
              <w:top w:val="nil"/>
              <w:left w:val="nil"/>
              <w:bottom w:val="single" w:sz="4" w:space="0" w:color="auto"/>
              <w:right w:val="nil"/>
            </w:tcBorders>
            <w:shd w:val="clear" w:color="auto" w:fill="auto"/>
            <w:vAlign w:val="bottom"/>
            <w:hideMark/>
          </w:tcPr>
          <w:p w14:paraId="00EF2FFB"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&lt;0.001*</w:t>
            </w:r>
          </w:p>
        </w:tc>
        <w:tc>
          <w:tcPr>
            <w:tcW w:w="2060" w:type="dxa"/>
            <w:tcBorders>
              <w:top w:val="nil"/>
              <w:left w:val="nil"/>
              <w:bottom w:val="single" w:sz="4" w:space="0" w:color="auto"/>
              <w:right w:val="nil"/>
            </w:tcBorders>
            <w:shd w:val="clear" w:color="auto" w:fill="auto"/>
            <w:vAlign w:val="bottom"/>
            <w:hideMark/>
          </w:tcPr>
          <w:p w14:paraId="731067DA"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&lt;0.001*</w:t>
            </w:r>
          </w:p>
        </w:tc>
        <w:tc>
          <w:tcPr>
            <w:tcW w:w="2240" w:type="dxa"/>
            <w:tcBorders>
              <w:top w:val="nil"/>
              <w:left w:val="nil"/>
              <w:bottom w:val="single" w:sz="4" w:space="0" w:color="auto"/>
              <w:right w:val="single" w:sz="4" w:space="0" w:color="auto"/>
            </w:tcBorders>
            <w:shd w:val="clear" w:color="auto" w:fill="auto"/>
            <w:vAlign w:val="bottom"/>
            <w:hideMark/>
          </w:tcPr>
          <w:p w14:paraId="576D14D3" w14:textId="77777777" w:rsidR="00EF1F17" w:rsidRPr="00C33193" w:rsidRDefault="00EF1F17" w:rsidP="000E5EFC">
            <w:pPr>
              <w:jc w:val="center"/>
              <w:rPr>
                <w:rFonts w:ascii="Arial" w:eastAsia="Times New Roman" w:hAnsi="Arial" w:cs="Arial"/>
                <w:color w:val="000000"/>
                <w:lang w:val="en-GB"/>
              </w:rPr>
            </w:pPr>
            <w:r w:rsidRPr="00C33193">
              <w:rPr>
                <w:rFonts w:ascii="Arial" w:eastAsia="Times New Roman" w:hAnsi="Arial" w:cs="Arial"/>
                <w:color w:val="000000"/>
                <w:lang w:val="en-GB"/>
              </w:rPr>
              <w:t>0.88</w:t>
            </w:r>
          </w:p>
        </w:tc>
      </w:tr>
      <w:tr w:rsidR="00EF1F17" w:rsidRPr="00C33193" w14:paraId="536B4B5D" w14:textId="77777777" w:rsidTr="000E5EFC">
        <w:trPr>
          <w:trHeight w:val="340"/>
        </w:trPr>
        <w:tc>
          <w:tcPr>
            <w:tcW w:w="2280" w:type="dxa"/>
            <w:tcBorders>
              <w:top w:val="nil"/>
              <w:left w:val="nil"/>
              <w:bottom w:val="nil"/>
              <w:right w:val="nil"/>
            </w:tcBorders>
            <w:shd w:val="clear" w:color="auto" w:fill="auto"/>
            <w:noWrap/>
            <w:vAlign w:val="bottom"/>
            <w:hideMark/>
          </w:tcPr>
          <w:p w14:paraId="2E126D57" w14:textId="77777777" w:rsidR="00EF1F17" w:rsidRPr="00C33193" w:rsidRDefault="00EF1F17" w:rsidP="000E5EFC">
            <w:pPr>
              <w:rPr>
                <w:rFonts w:ascii="Arial" w:eastAsia="Times New Roman" w:hAnsi="Arial" w:cs="Arial"/>
                <w:color w:val="000000"/>
                <w:lang w:val="en-GB"/>
              </w:rPr>
            </w:pPr>
          </w:p>
        </w:tc>
        <w:tc>
          <w:tcPr>
            <w:tcW w:w="1420" w:type="dxa"/>
            <w:tcBorders>
              <w:top w:val="nil"/>
              <w:left w:val="nil"/>
              <w:bottom w:val="nil"/>
              <w:right w:val="nil"/>
            </w:tcBorders>
            <w:shd w:val="clear" w:color="auto" w:fill="auto"/>
            <w:noWrap/>
            <w:vAlign w:val="bottom"/>
            <w:hideMark/>
          </w:tcPr>
          <w:p w14:paraId="13F97A80" w14:textId="77777777" w:rsidR="00EF1F17" w:rsidRPr="00C33193" w:rsidRDefault="00EF1F17" w:rsidP="000E5EFC">
            <w:pPr>
              <w:rPr>
                <w:rFonts w:ascii="Arial" w:eastAsia="Times New Roman" w:hAnsi="Arial" w:cs="Arial"/>
                <w:color w:val="000000"/>
                <w:lang w:val="en-GB"/>
              </w:rPr>
            </w:pPr>
          </w:p>
        </w:tc>
        <w:tc>
          <w:tcPr>
            <w:tcW w:w="1420" w:type="dxa"/>
            <w:tcBorders>
              <w:top w:val="nil"/>
              <w:left w:val="nil"/>
              <w:bottom w:val="nil"/>
              <w:right w:val="nil"/>
            </w:tcBorders>
            <w:shd w:val="clear" w:color="auto" w:fill="auto"/>
            <w:noWrap/>
            <w:vAlign w:val="bottom"/>
            <w:hideMark/>
          </w:tcPr>
          <w:p w14:paraId="64DD3672" w14:textId="77777777" w:rsidR="00EF1F17" w:rsidRPr="00C33193" w:rsidRDefault="00EF1F17" w:rsidP="000E5EFC">
            <w:pPr>
              <w:rPr>
                <w:rFonts w:ascii="Arial" w:eastAsia="Times New Roman" w:hAnsi="Arial" w:cs="Arial"/>
                <w:color w:val="000000"/>
                <w:lang w:val="en-GB"/>
              </w:rPr>
            </w:pPr>
          </w:p>
        </w:tc>
        <w:tc>
          <w:tcPr>
            <w:tcW w:w="1420" w:type="dxa"/>
            <w:tcBorders>
              <w:top w:val="nil"/>
              <w:left w:val="nil"/>
              <w:bottom w:val="nil"/>
              <w:right w:val="nil"/>
            </w:tcBorders>
            <w:shd w:val="clear" w:color="auto" w:fill="auto"/>
            <w:noWrap/>
            <w:vAlign w:val="bottom"/>
            <w:hideMark/>
          </w:tcPr>
          <w:p w14:paraId="157EAB3A" w14:textId="77777777" w:rsidR="00EF1F17" w:rsidRPr="00C33193" w:rsidRDefault="00EF1F17" w:rsidP="000E5EFC">
            <w:pPr>
              <w:rPr>
                <w:rFonts w:ascii="Arial" w:eastAsia="Times New Roman" w:hAnsi="Arial" w:cs="Arial"/>
                <w:color w:val="000000"/>
                <w:lang w:val="en-GB"/>
              </w:rPr>
            </w:pPr>
          </w:p>
        </w:tc>
        <w:tc>
          <w:tcPr>
            <w:tcW w:w="2000" w:type="dxa"/>
            <w:tcBorders>
              <w:top w:val="nil"/>
              <w:left w:val="nil"/>
              <w:bottom w:val="nil"/>
              <w:right w:val="nil"/>
            </w:tcBorders>
            <w:shd w:val="clear" w:color="auto" w:fill="auto"/>
            <w:noWrap/>
            <w:vAlign w:val="bottom"/>
            <w:hideMark/>
          </w:tcPr>
          <w:p w14:paraId="377B948E" w14:textId="77777777" w:rsidR="00EF1F17" w:rsidRPr="00C33193" w:rsidRDefault="00EF1F17" w:rsidP="000E5EFC">
            <w:pPr>
              <w:rPr>
                <w:rFonts w:ascii="Arial" w:eastAsia="Times New Roman" w:hAnsi="Arial" w:cs="Arial"/>
                <w:color w:val="000000"/>
                <w:lang w:val="en-GB"/>
              </w:rPr>
            </w:pPr>
          </w:p>
        </w:tc>
        <w:tc>
          <w:tcPr>
            <w:tcW w:w="2060" w:type="dxa"/>
            <w:tcBorders>
              <w:top w:val="nil"/>
              <w:left w:val="nil"/>
              <w:bottom w:val="nil"/>
              <w:right w:val="nil"/>
            </w:tcBorders>
            <w:shd w:val="clear" w:color="auto" w:fill="auto"/>
            <w:noWrap/>
            <w:vAlign w:val="bottom"/>
            <w:hideMark/>
          </w:tcPr>
          <w:p w14:paraId="1AFEE62D" w14:textId="77777777" w:rsidR="00EF1F17" w:rsidRPr="00C33193" w:rsidRDefault="00EF1F17" w:rsidP="000E5EFC">
            <w:pPr>
              <w:rPr>
                <w:rFonts w:ascii="Arial" w:eastAsia="Times New Roman" w:hAnsi="Arial" w:cs="Arial"/>
                <w:color w:val="000000"/>
                <w:lang w:val="en-GB"/>
              </w:rPr>
            </w:pPr>
          </w:p>
        </w:tc>
        <w:tc>
          <w:tcPr>
            <w:tcW w:w="2240" w:type="dxa"/>
            <w:tcBorders>
              <w:top w:val="nil"/>
              <w:left w:val="nil"/>
              <w:bottom w:val="nil"/>
              <w:right w:val="nil"/>
            </w:tcBorders>
            <w:shd w:val="clear" w:color="auto" w:fill="auto"/>
            <w:noWrap/>
            <w:vAlign w:val="bottom"/>
            <w:hideMark/>
          </w:tcPr>
          <w:p w14:paraId="3FD116FA" w14:textId="77777777" w:rsidR="00EF1F17" w:rsidRPr="00C33193" w:rsidRDefault="00EF1F17" w:rsidP="000E5EFC">
            <w:pPr>
              <w:rPr>
                <w:rFonts w:ascii="Arial" w:eastAsia="Times New Roman" w:hAnsi="Arial" w:cs="Arial"/>
                <w:color w:val="000000"/>
                <w:lang w:val="en-GB"/>
              </w:rPr>
            </w:pPr>
          </w:p>
        </w:tc>
      </w:tr>
      <w:tr w:rsidR="00EF1F17" w:rsidRPr="00C33193" w14:paraId="7CE703FA" w14:textId="77777777" w:rsidTr="000E5EFC">
        <w:trPr>
          <w:trHeight w:val="340"/>
        </w:trPr>
        <w:tc>
          <w:tcPr>
            <w:tcW w:w="10600" w:type="dxa"/>
            <w:gridSpan w:val="6"/>
            <w:tcBorders>
              <w:top w:val="nil"/>
              <w:left w:val="nil"/>
              <w:bottom w:val="nil"/>
              <w:right w:val="nil"/>
            </w:tcBorders>
            <w:shd w:val="clear" w:color="auto" w:fill="auto"/>
            <w:noWrap/>
            <w:vAlign w:val="bottom"/>
            <w:hideMark/>
          </w:tcPr>
          <w:p w14:paraId="563700C1" w14:textId="77777777" w:rsidR="00EF1F17" w:rsidRPr="00C33193" w:rsidRDefault="00EF1F17" w:rsidP="000E5EFC">
            <w:pPr>
              <w:rPr>
                <w:rFonts w:ascii="Arial" w:eastAsia="Times New Roman" w:hAnsi="Arial" w:cs="Arial"/>
                <w:color w:val="000000"/>
                <w:lang w:val="en-GB"/>
              </w:rPr>
            </w:pPr>
            <w:r w:rsidRPr="00C33193">
              <w:rPr>
                <w:rFonts w:ascii="Arial" w:eastAsia="Times New Roman" w:hAnsi="Arial" w:cs="Arial"/>
                <w:color w:val="000000"/>
                <w:lang w:val="en-GB"/>
              </w:rPr>
              <w:t>x = Paired t-test was not calculated since standard deviation of the two variables were zero.</w:t>
            </w:r>
          </w:p>
        </w:tc>
        <w:tc>
          <w:tcPr>
            <w:tcW w:w="2240" w:type="dxa"/>
            <w:tcBorders>
              <w:top w:val="nil"/>
              <w:left w:val="nil"/>
              <w:bottom w:val="nil"/>
              <w:right w:val="nil"/>
            </w:tcBorders>
            <w:shd w:val="clear" w:color="auto" w:fill="auto"/>
            <w:noWrap/>
            <w:vAlign w:val="bottom"/>
            <w:hideMark/>
          </w:tcPr>
          <w:p w14:paraId="1724E161" w14:textId="77777777" w:rsidR="00EF1F17" w:rsidRPr="00C33193" w:rsidRDefault="00EF1F17" w:rsidP="000E5EFC">
            <w:pPr>
              <w:rPr>
                <w:rFonts w:ascii="Arial" w:eastAsia="Times New Roman" w:hAnsi="Arial" w:cs="Arial"/>
                <w:color w:val="000000"/>
                <w:lang w:val="en-GB"/>
              </w:rPr>
            </w:pPr>
          </w:p>
        </w:tc>
      </w:tr>
      <w:tr w:rsidR="00EF1F17" w:rsidRPr="00C33193" w14:paraId="5C6AF31F" w14:textId="77777777" w:rsidTr="000E5EFC">
        <w:trPr>
          <w:trHeight w:val="340"/>
        </w:trPr>
        <w:tc>
          <w:tcPr>
            <w:tcW w:w="2280" w:type="dxa"/>
            <w:tcBorders>
              <w:top w:val="nil"/>
              <w:left w:val="nil"/>
              <w:bottom w:val="nil"/>
              <w:right w:val="nil"/>
            </w:tcBorders>
            <w:shd w:val="clear" w:color="auto" w:fill="auto"/>
            <w:noWrap/>
            <w:vAlign w:val="bottom"/>
            <w:hideMark/>
          </w:tcPr>
          <w:p w14:paraId="4590816F" w14:textId="77777777" w:rsidR="00EF1F17" w:rsidRPr="00C33193" w:rsidRDefault="00EF1F17" w:rsidP="000E5EFC">
            <w:pPr>
              <w:rPr>
                <w:rFonts w:ascii="Arial" w:eastAsia="Times New Roman" w:hAnsi="Arial" w:cs="Arial"/>
                <w:color w:val="000000"/>
                <w:lang w:val="en-GB"/>
              </w:rPr>
            </w:pPr>
            <w:r w:rsidRPr="00C33193">
              <w:rPr>
                <w:rFonts w:ascii="Arial" w:eastAsia="Times New Roman" w:hAnsi="Arial" w:cs="Arial"/>
                <w:color w:val="000000"/>
                <w:lang w:val="en-GB"/>
              </w:rPr>
              <w:t>* P-value &lt; 0.05</w:t>
            </w:r>
          </w:p>
        </w:tc>
        <w:tc>
          <w:tcPr>
            <w:tcW w:w="1420" w:type="dxa"/>
            <w:tcBorders>
              <w:top w:val="nil"/>
              <w:left w:val="nil"/>
              <w:bottom w:val="nil"/>
              <w:right w:val="nil"/>
            </w:tcBorders>
            <w:shd w:val="clear" w:color="auto" w:fill="auto"/>
            <w:noWrap/>
            <w:vAlign w:val="bottom"/>
            <w:hideMark/>
          </w:tcPr>
          <w:p w14:paraId="53C263A7" w14:textId="77777777" w:rsidR="00EF1F17" w:rsidRPr="00C33193" w:rsidRDefault="00EF1F17" w:rsidP="000E5EFC">
            <w:pPr>
              <w:rPr>
                <w:rFonts w:ascii="Arial" w:eastAsia="Times New Roman" w:hAnsi="Arial" w:cs="Arial"/>
                <w:color w:val="000000"/>
                <w:lang w:val="en-GB"/>
              </w:rPr>
            </w:pPr>
          </w:p>
        </w:tc>
        <w:tc>
          <w:tcPr>
            <w:tcW w:w="1420" w:type="dxa"/>
            <w:tcBorders>
              <w:top w:val="nil"/>
              <w:left w:val="nil"/>
              <w:bottom w:val="nil"/>
              <w:right w:val="nil"/>
            </w:tcBorders>
            <w:shd w:val="clear" w:color="auto" w:fill="auto"/>
            <w:noWrap/>
            <w:vAlign w:val="bottom"/>
            <w:hideMark/>
          </w:tcPr>
          <w:p w14:paraId="6375DFD2" w14:textId="77777777" w:rsidR="00EF1F17" w:rsidRPr="00C33193" w:rsidRDefault="00EF1F17" w:rsidP="000E5EFC">
            <w:pPr>
              <w:rPr>
                <w:rFonts w:ascii="Arial" w:eastAsia="Times New Roman" w:hAnsi="Arial" w:cs="Arial"/>
                <w:color w:val="000000"/>
                <w:lang w:val="en-GB"/>
              </w:rPr>
            </w:pPr>
          </w:p>
        </w:tc>
        <w:tc>
          <w:tcPr>
            <w:tcW w:w="1420" w:type="dxa"/>
            <w:tcBorders>
              <w:top w:val="nil"/>
              <w:left w:val="nil"/>
              <w:bottom w:val="nil"/>
              <w:right w:val="nil"/>
            </w:tcBorders>
            <w:shd w:val="clear" w:color="auto" w:fill="auto"/>
            <w:noWrap/>
            <w:vAlign w:val="bottom"/>
            <w:hideMark/>
          </w:tcPr>
          <w:p w14:paraId="3C18798B" w14:textId="77777777" w:rsidR="00EF1F17" w:rsidRPr="00C33193" w:rsidRDefault="00EF1F17" w:rsidP="000E5EFC">
            <w:pPr>
              <w:rPr>
                <w:rFonts w:ascii="Arial" w:eastAsia="Times New Roman" w:hAnsi="Arial" w:cs="Arial"/>
                <w:color w:val="000000"/>
                <w:lang w:val="en-GB"/>
              </w:rPr>
            </w:pPr>
          </w:p>
        </w:tc>
        <w:tc>
          <w:tcPr>
            <w:tcW w:w="2000" w:type="dxa"/>
            <w:tcBorders>
              <w:top w:val="nil"/>
              <w:left w:val="nil"/>
              <w:bottom w:val="nil"/>
              <w:right w:val="nil"/>
            </w:tcBorders>
            <w:shd w:val="clear" w:color="auto" w:fill="auto"/>
            <w:noWrap/>
            <w:vAlign w:val="bottom"/>
            <w:hideMark/>
          </w:tcPr>
          <w:p w14:paraId="11FBA5D0" w14:textId="77777777" w:rsidR="00EF1F17" w:rsidRPr="00C33193" w:rsidRDefault="00EF1F17" w:rsidP="000E5EFC">
            <w:pPr>
              <w:rPr>
                <w:rFonts w:ascii="Arial" w:eastAsia="Times New Roman" w:hAnsi="Arial" w:cs="Arial"/>
                <w:color w:val="000000"/>
                <w:lang w:val="en-GB"/>
              </w:rPr>
            </w:pPr>
          </w:p>
        </w:tc>
        <w:tc>
          <w:tcPr>
            <w:tcW w:w="2060" w:type="dxa"/>
            <w:tcBorders>
              <w:top w:val="nil"/>
              <w:left w:val="nil"/>
              <w:bottom w:val="nil"/>
              <w:right w:val="nil"/>
            </w:tcBorders>
            <w:shd w:val="clear" w:color="auto" w:fill="auto"/>
            <w:noWrap/>
            <w:vAlign w:val="bottom"/>
            <w:hideMark/>
          </w:tcPr>
          <w:p w14:paraId="7E14C7A5" w14:textId="77777777" w:rsidR="00EF1F17" w:rsidRPr="00C33193" w:rsidRDefault="00EF1F17" w:rsidP="000E5EFC">
            <w:pPr>
              <w:rPr>
                <w:rFonts w:ascii="Arial" w:eastAsia="Times New Roman" w:hAnsi="Arial" w:cs="Arial"/>
                <w:color w:val="000000"/>
                <w:lang w:val="en-GB"/>
              </w:rPr>
            </w:pPr>
          </w:p>
        </w:tc>
        <w:tc>
          <w:tcPr>
            <w:tcW w:w="2240" w:type="dxa"/>
            <w:tcBorders>
              <w:top w:val="nil"/>
              <w:left w:val="nil"/>
              <w:bottom w:val="nil"/>
              <w:right w:val="nil"/>
            </w:tcBorders>
            <w:shd w:val="clear" w:color="auto" w:fill="auto"/>
            <w:noWrap/>
            <w:vAlign w:val="bottom"/>
            <w:hideMark/>
          </w:tcPr>
          <w:p w14:paraId="7E3BEFC9" w14:textId="77777777" w:rsidR="00EF1F17" w:rsidRPr="00C33193" w:rsidRDefault="00EF1F17" w:rsidP="000E5EFC">
            <w:pPr>
              <w:rPr>
                <w:rFonts w:ascii="Arial" w:eastAsia="Times New Roman" w:hAnsi="Arial" w:cs="Arial"/>
                <w:color w:val="000000"/>
                <w:lang w:val="en-GB"/>
              </w:rPr>
            </w:pPr>
          </w:p>
        </w:tc>
      </w:tr>
    </w:tbl>
    <w:p w14:paraId="0DFDC4E8" w14:textId="77777777" w:rsidR="00EF1F17" w:rsidRPr="00AC0250" w:rsidRDefault="00EF1F17" w:rsidP="00EF1F17">
      <w:pPr>
        <w:pStyle w:val="Tekstopmerking"/>
        <w:spacing w:line="360" w:lineRule="auto"/>
        <w:rPr>
          <w:rFonts w:ascii="Arial" w:hAnsi="Arial" w:cs="Arial"/>
          <w:color w:val="000000" w:themeColor="text1"/>
          <w:sz w:val="22"/>
          <w:szCs w:val="22"/>
        </w:rPr>
      </w:pPr>
    </w:p>
    <w:p w14:paraId="22248F96" w14:textId="77E0CBC9" w:rsidR="008F4A9E" w:rsidRDefault="008F4A9E" w:rsidP="00A263E5">
      <w:pPr>
        <w:spacing w:line="360" w:lineRule="auto"/>
        <w:rPr>
          <w:rFonts w:ascii="Arial" w:hAnsi="Arial" w:cs="Arial"/>
          <w:sz w:val="22"/>
          <w:szCs w:val="22"/>
        </w:rPr>
        <w:sectPr w:rsidR="008F4A9E" w:rsidSect="008C3C74">
          <w:pgSz w:w="16840" w:h="11901" w:orient="landscape"/>
          <w:pgMar w:top="1440" w:right="1440" w:bottom="1440" w:left="1440" w:header="708" w:footer="708" w:gutter="0"/>
          <w:cols w:space="708"/>
          <w:docGrid w:linePitch="360"/>
        </w:sectPr>
      </w:pPr>
    </w:p>
    <w:tbl>
      <w:tblPr>
        <w:tblW w:w="12489" w:type="dxa"/>
        <w:tblInd w:w="93" w:type="dxa"/>
        <w:tblLayout w:type="fixed"/>
        <w:tblLook w:val="04A0" w:firstRow="1" w:lastRow="0" w:firstColumn="1" w:lastColumn="0" w:noHBand="0" w:noVBand="1"/>
      </w:tblPr>
      <w:tblGrid>
        <w:gridCol w:w="1244"/>
        <w:gridCol w:w="913"/>
        <w:gridCol w:w="3584"/>
        <w:gridCol w:w="657"/>
        <w:gridCol w:w="982"/>
        <w:gridCol w:w="1243"/>
        <w:gridCol w:w="606"/>
        <w:gridCol w:w="567"/>
        <w:gridCol w:w="567"/>
        <w:gridCol w:w="851"/>
        <w:gridCol w:w="1275"/>
      </w:tblGrid>
      <w:tr w:rsidR="00F224F6" w:rsidRPr="00F224F6" w14:paraId="102CD896" w14:textId="77777777" w:rsidTr="00F224F6">
        <w:trPr>
          <w:trHeight w:val="700"/>
        </w:trPr>
        <w:tc>
          <w:tcPr>
            <w:tcW w:w="12489" w:type="dxa"/>
            <w:gridSpan w:val="11"/>
            <w:tcBorders>
              <w:top w:val="nil"/>
              <w:left w:val="nil"/>
              <w:bottom w:val="single" w:sz="4" w:space="0" w:color="auto"/>
              <w:right w:val="nil"/>
            </w:tcBorders>
            <w:shd w:val="clear" w:color="auto" w:fill="auto"/>
            <w:vAlign w:val="bottom"/>
            <w:hideMark/>
          </w:tcPr>
          <w:p w14:paraId="1D9249FB" w14:textId="0DE0B87D" w:rsidR="00F224F6" w:rsidRPr="00F224F6" w:rsidRDefault="00F224F6" w:rsidP="00F224F6">
            <w:pPr>
              <w:rPr>
                <w:rFonts w:ascii="Arial" w:eastAsia="Times New Roman" w:hAnsi="Arial" w:cs="Arial"/>
                <w:color w:val="000000"/>
                <w:sz w:val="22"/>
                <w:szCs w:val="22"/>
                <w:lang w:val="en-GB"/>
              </w:rPr>
            </w:pPr>
            <w:r w:rsidRPr="00F224F6">
              <w:rPr>
                <w:rFonts w:ascii="Arial" w:eastAsia="Times New Roman" w:hAnsi="Arial" w:cs="Arial"/>
                <w:b/>
                <w:bCs/>
                <w:color w:val="000000"/>
                <w:sz w:val="22"/>
                <w:szCs w:val="22"/>
                <w:lang w:val="en-GB"/>
              </w:rPr>
              <w:lastRenderedPageBreak/>
              <w:t xml:space="preserve">Table </w:t>
            </w:r>
            <w:r w:rsidR="0070710F">
              <w:rPr>
                <w:rFonts w:ascii="Arial" w:eastAsia="Times New Roman" w:hAnsi="Arial" w:cs="Arial"/>
                <w:b/>
                <w:bCs/>
                <w:color w:val="000000"/>
                <w:sz w:val="22"/>
                <w:szCs w:val="22"/>
                <w:lang w:val="en-GB"/>
              </w:rPr>
              <w:t>3</w:t>
            </w:r>
            <w:r w:rsidRPr="00F224F6">
              <w:rPr>
                <w:rFonts w:ascii="Arial" w:eastAsia="Times New Roman" w:hAnsi="Arial" w:cs="Arial"/>
                <w:b/>
                <w:bCs/>
                <w:color w:val="000000"/>
                <w:sz w:val="22"/>
                <w:szCs w:val="22"/>
                <w:lang w:val="en-GB"/>
              </w:rPr>
              <w:t>:</w:t>
            </w:r>
            <w:r w:rsidRPr="00F224F6">
              <w:rPr>
                <w:rFonts w:ascii="Arial" w:eastAsia="Times New Roman" w:hAnsi="Arial" w:cs="Arial"/>
                <w:color w:val="000000"/>
                <w:sz w:val="22"/>
                <w:szCs w:val="22"/>
                <w:lang w:val="en-GB"/>
              </w:rPr>
              <w:t xml:space="preserve"> Clusters of significant reductions in CT, SA and CV in DID individuals relative to controls</w:t>
            </w:r>
            <w:r w:rsidR="00F638BC">
              <w:rPr>
                <w:rFonts w:ascii="Arial" w:eastAsia="Times New Roman" w:hAnsi="Arial" w:cs="Arial"/>
                <w:color w:val="000000"/>
                <w:sz w:val="22"/>
                <w:szCs w:val="22"/>
                <w:lang w:val="en-GB"/>
              </w:rPr>
              <w:t>.</w:t>
            </w:r>
          </w:p>
        </w:tc>
      </w:tr>
      <w:tr w:rsidR="00F224F6" w:rsidRPr="00F224F6" w14:paraId="3200E765" w14:textId="77777777" w:rsidTr="00F224F6">
        <w:trPr>
          <w:trHeight w:val="260"/>
        </w:trPr>
        <w:tc>
          <w:tcPr>
            <w:tcW w:w="1244" w:type="dxa"/>
            <w:tcBorders>
              <w:top w:val="nil"/>
              <w:left w:val="nil"/>
              <w:bottom w:val="nil"/>
              <w:right w:val="nil"/>
            </w:tcBorders>
            <w:shd w:val="clear" w:color="auto" w:fill="auto"/>
            <w:noWrap/>
            <w:vAlign w:val="bottom"/>
            <w:hideMark/>
          </w:tcPr>
          <w:p w14:paraId="237DA106" w14:textId="77777777" w:rsidR="00F224F6" w:rsidRPr="00F224F6" w:rsidRDefault="00F224F6" w:rsidP="00F224F6">
            <w:pPr>
              <w:rPr>
                <w:rFonts w:ascii="Arial" w:eastAsia="Times New Roman" w:hAnsi="Arial" w:cs="Arial"/>
                <w:color w:val="000000"/>
                <w:sz w:val="22"/>
                <w:szCs w:val="22"/>
                <w:lang w:val="en-GB"/>
              </w:rPr>
            </w:pPr>
          </w:p>
        </w:tc>
        <w:tc>
          <w:tcPr>
            <w:tcW w:w="913" w:type="dxa"/>
            <w:tcBorders>
              <w:top w:val="nil"/>
              <w:left w:val="nil"/>
              <w:bottom w:val="nil"/>
              <w:right w:val="nil"/>
            </w:tcBorders>
            <w:shd w:val="clear" w:color="auto" w:fill="auto"/>
            <w:noWrap/>
            <w:vAlign w:val="bottom"/>
            <w:hideMark/>
          </w:tcPr>
          <w:p w14:paraId="2597354E"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 </w:t>
            </w:r>
          </w:p>
        </w:tc>
        <w:tc>
          <w:tcPr>
            <w:tcW w:w="3584" w:type="dxa"/>
            <w:tcBorders>
              <w:top w:val="nil"/>
              <w:left w:val="nil"/>
              <w:bottom w:val="nil"/>
              <w:right w:val="nil"/>
            </w:tcBorders>
            <w:shd w:val="clear" w:color="auto" w:fill="auto"/>
            <w:noWrap/>
            <w:vAlign w:val="bottom"/>
            <w:hideMark/>
          </w:tcPr>
          <w:p w14:paraId="34E4A7CF" w14:textId="77777777" w:rsidR="00F224F6" w:rsidRPr="00F224F6" w:rsidRDefault="00F224F6" w:rsidP="00F224F6">
            <w:pP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 </w:t>
            </w:r>
          </w:p>
        </w:tc>
        <w:tc>
          <w:tcPr>
            <w:tcW w:w="657" w:type="dxa"/>
            <w:tcBorders>
              <w:top w:val="nil"/>
              <w:left w:val="nil"/>
              <w:bottom w:val="nil"/>
              <w:right w:val="nil"/>
            </w:tcBorders>
            <w:shd w:val="clear" w:color="auto" w:fill="auto"/>
            <w:noWrap/>
            <w:vAlign w:val="bottom"/>
            <w:hideMark/>
          </w:tcPr>
          <w:p w14:paraId="43068C10" w14:textId="77777777" w:rsidR="00F224F6" w:rsidRPr="00F224F6" w:rsidRDefault="00F224F6" w:rsidP="00F224F6">
            <w:pP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 </w:t>
            </w:r>
          </w:p>
        </w:tc>
        <w:tc>
          <w:tcPr>
            <w:tcW w:w="982" w:type="dxa"/>
            <w:tcBorders>
              <w:top w:val="nil"/>
              <w:left w:val="nil"/>
              <w:bottom w:val="nil"/>
              <w:right w:val="nil"/>
            </w:tcBorders>
            <w:shd w:val="clear" w:color="auto" w:fill="auto"/>
            <w:noWrap/>
            <w:vAlign w:val="bottom"/>
            <w:hideMark/>
          </w:tcPr>
          <w:p w14:paraId="6D380FCF" w14:textId="77777777" w:rsidR="00F224F6" w:rsidRPr="00F224F6" w:rsidRDefault="00F224F6" w:rsidP="00F224F6">
            <w:pP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 </w:t>
            </w:r>
          </w:p>
        </w:tc>
        <w:tc>
          <w:tcPr>
            <w:tcW w:w="1243" w:type="dxa"/>
            <w:tcBorders>
              <w:top w:val="nil"/>
              <w:left w:val="nil"/>
              <w:bottom w:val="nil"/>
              <w:right w:val="nil"/>
            </w:tcBorders>
            <w:shd w:val="clear" w:color="auto" w:fill="auto"/>
            <w:noWrap/>
            <w:vAlign w:val="bottom"/>
            <w:hideMark/>
          </w:tcPr>
          <w:p w14:paraId="1AC37BC7" w14:textId="77777777" w:rsidR="00F224F6" w:rsidRPr="00F224F6" w:rsidRDefault="00F224F6" w:rsidP="00F224F6">
            <w:pP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 </w:t>
            </w:r>
          </w:p>
        </w:tc>
        <w:tc>
          <w:tcPr>
            <w:tcW w:w="1740" w:type="dxa"/>
            <w:gridSpan w:val="3"/>
            <w:tcBorders>
              <w:top w:val="single" w:sz="4" w:space="0" w:color="auto"/>
              <w:left w:val="nil"/>
              <w:bottom w:val="single" w:sz="4" w:space="0" w:color="auto"/>
              <w:right w:val="nil"/>
            </w:tcBorders>
            <w:shd w:val="clear" w:color="auto" w:fill="auto"/>
            <w:noWrap/>
            <w:vAlign w:val="bottom"/>
            <w:hideMark/>
          </w:tcPr>
          <w:p w14:paraId="58703345"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Talairach</w:t>
            </w:r>
          </w:p>
        </w:tc>
        <w:tc>
          <w:tcPr>
            <w:tcW w:w="851" w:type="dxa"/>
            <w:tcBorders>
              <w:top w:val="nil"/>
              <w:left w:val="nil"/>
              <w:bottom w:val="nil"/>
              <w:right w:val="nil"/>
            </w:tcBorders>
            <w:shd w:val="clear" w:color="auto" w:fill="auto"/>
            <w:noWrap/>
            <w:vAlign w:val="bottom"/>
            <w:hideMark/>
          </w:tcPr>
          <w:p w14:paraId="636BBDD3" w14:textId="77777777" w:rsidR="00F224F6" w:rsidRPr="00F224F6" w:rsidRDefault="00F224F6" w:rsidP="00F224F6">
            <w:pP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 </w:t>
            </w:r>
          </w:p>
        </w:tc>
        <w:tc>
          <w:tcPr>
            <w:tcW w:w="1275" w:type="dxa"/>
            <w:tcBorders>
              <w:top w:val="nil"/>
              <w:left w:val="nil"/>
              <w:bottom w:val="nil"/>
              <w:right w:val="nil"/>
            </w:tcBorders>
            <w:shd w:val="clear" w:color="auto" w:fill="auto"/>
            <w:noWrap/>
            <w:vAlign w:val="bottom"/>
            <w:hideMark/>
          </w:tcPr>
          <w:p w14:paraId="375E26BD" w14:textId="77777777" w:rsidR="00F224F6" w:rsidRPr="00F224F6" w:rsidRDefault="00F224F6" w:rsidP="00F224F6">
            <w:pP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 </w:t>
            </w:r>
          </w:p>
        </w:tc>
      </w:tr>
      <w:tr w:rsidR="00F224F6" w:rsidRPr="00F224F6" w14:paraId="2C357BC9" w14:textId="77777777" w:rsidTr="00F224F6">
        <w:trPr>
          <w:trHeight w:val="300"/>
        </w:trPr>
        <w:tc>
          <w:tcPr>
            <w:tcW w:w="1244" w:type="dxa"/>
            <w:tcBorders>
              <w:top w:val="nil"/>
              <w:left w:val="nil"/>
              <w:bottom w:val="single" w:sz="4" w:space="0" w:color="auto"/>
              <w:right w:val="nil"/>
            </w:tcBorders>
            <w:shd w:val="clear" w:color="auto" w:fill="auto"/>
            <w:noWrap/>
            <w:vAlign w:val="bottom"/>
            <w:hideMark/>
          </w:tcPr>
          <w:p w14:paraId="67B9D326" w14:textId="77777777" w:rsidR="00F224F6" w:rsidRPr="00F224F6" w:rsidRDefault="00F224F6" w:rsidP="00F224F6">
            <w:pP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Parameter</w:t>
            </w:r>
          </w:p>
        </w:tc>
        <w:tc>
          <w:tcPr>
            <w:tcW w:w="913" w:type="dxa"/>
            <w:tcBorders>
              <w:top w:val="nil"/>
              <w:left w:val="nil"/>
              <w:bottom w:val="single" w:sz="4" w:space="0" w:color="auto"/>
              <w:right w:val="nil"/>
            </w:tcBorders>
            <w:shd w:val="clear" w:color="auto" w:fill="auto"/>
            <w:noWrap/>
            <w:vAlign w:val="bottom"/>
            <w:hideMark/>
          </w:tcPr>
          <w:p w14:paraId="5EE64141"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Cluster</w:t>
            </w:r>
          </w:p>
        </w:tc>
        <w:tc>
          <w:tcPr>
            <w:tcW w:w="3584" w:type="dxa"/>
            <w:tcBorders>
              <w:top w:val="nil"/>
              <w:left w:val="nil"/>
              <w:bottom w:val="single" w:sz="4" w:space="0" w:color="auto"/>
              <w:right w:val="nil"/>
            </w:tcBorders>
            <w:shd w:val="clear" w:color="auto" w:fill="auto"/>
            <w:noWrap/>
            <w:vAlign w:val="bottom"/>
            <w:hideMark/>
          </w:tcPr>
          <w:p w14:paraId="42623C65" w14:textId="77777777" w:rsidR="00F224F6" w:rsidRPr="00F224F6" w:rsidRDefault="00F224F6" w:rsidP="00F224F6">
            <w:pP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Region Labels</w:t>
            </w:r>
            <w:r w:rsidRPr="00F224F6">
              <w:rPr>
                <w:rFonts w:ascii="Arial" w:eastAsia="Times New Roman" w:hAnsi="Arial" w:cs="Arial"/>
                <w:color w:val="000000"/>
                <w:sz w:val="22"/>
                <w:szCs w:val="22"/>
                <w:vertAlign w:val="superscript"/>
                <w:lang w:val="en-GB"/>
              </w:rPr>
              <w:t xml:space="preserve"> a</w:t>
            </w:r>
          </w:p>
        </w:tc>
        <w:tc>
          <w:tcPr>
            <w:tcW w:w="657" w:type="dxa"/>
            <w:tcBorders>
              <w:top w:val="nil"/>
              <w:left w:val="nil"/>
              <w:bottom w:val="single" w:sz="4" w:space="0" w:color="auto"/>
              <w:right w:val="nil"/>
            </w:tcBorders>
            <w:shd w:val="clear" w:color="auto" w:fill="auto"/>
            <w:noWrap/>
            <w:vAlign w:val="bottom"/>
            <w:hideMark/>
          </w:tcPr>
          <w:p w14:paraId="4DB3CA1A"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Side</w:t>
            </w:r>
          </w:p>
        </w:tc>
        <w:tc>
          <w:tcPr>
            <w:tcW w:w="982" w:type="dxa"/>
            <w:tcBorders>
              <w:top w:val="nil"/>
              <w:left w:val="nil"/>
              <w:bottom w:val="single" w:sz="4" w:space="0" w:color="auto"/>
              <w:right w:val="nil"/>
            </w:tcBorders>
            <w:shd w:val="clear" w:color="auto" w:fill="auto"/>
            <w:noWrap/>
            <w:vAlign w:val="bottom"/>
            <w:hideMark/>
          </w:tcPr>
          <w:p w14:paraId="055D385E"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BA(t</w:t>
            </w:r>
            <w:r w:rsidRPr="00F224F6">
              <w:rPr>
                <w:rFonts w:ascii="Arial" w:eastAsia="Times New Roman" w:hAnsi="Arial" w:cs="Arial"/>
                <w:color w:val="000000"/>
                <w:sz w:val="22"/>
                <w:szCs w:val="22"/>
                <w:vertAlign w:val="subscript"/>
                <w:lang w:val="en-GB"/>
              </w:rPr>
              <w:t>max</w:t>
            </w:r>
            <w:r w:rsidRPr="00F224F6">
              <w:rPr>
                <w:rFonts w:ascii="Arial" w:eastAsia="Times New Roman" w:hAnsi="Arial" w:cs="Arial"/>
                <w:color w:val="000000"/>
                <w:sz w:val="22"/>
                <w:szCs w:val="22"/>
                <w:lang w:val="en-GB"/>
              </w:rPr>
              <w:t>)</w:t>
            </w:r>
          </w:p>
        </w:tc>
        <w:tc>
          <w:tcPr>
            <w:tcW w:w="1243" w:type="dxa"/>
            <w:tcBorders>
              <w:top w:val="nil"/>
              <w:left w:val="nil"/>
              <w:bottom w:val="single" w:sz="4" w:space="0" w:color="auto"/>
              <w:right w:val="nil"/>
            </w:tcBorders>
            <w:shd w:val="clear" w:color="auto" w:fill="auto"/>
            <w:noWrap/>
            <w:vAlign w:val="bottom"/>
            <w:hideMark/>
          </w:tcPr>
          <w:p w14:paraId="6448175B"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No vertices</w:t>
            </w:r>
          </w:p>
        </w:tc>
        <w:tc>
          <w:tcPr>
            <w:tcW w:w="606" w:type="dxa"/>
            <w:tcBorders>
              <w:top w:val="nil"/>
              <w:left w:val="nil"/>
              <w:bottom w:val="single" w:sz="4" w:space="0" w:color="auto"/>
              <w:right w:val="nil"/>
            </w:tcBorders>
            <w:shd w:val="clear" w:color="auto" w:fill="auto"/>
            <w:noWrap/>
            <w:vAlign w:val="bottom"/>
            <w:hideMark/>
          </w:tcPr>
          <w:p w14:paraId="3CB4FA84"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x</w:t>
            </w:r>
          </w:p>
        </w:tc>
        <w:tc>
          <w:tcPr>
            <w:tcW w:w="567" w:type="dxa"/>
            <w:tcBorders>
              <w:top w:val="nil"/>
              <w:left w:val="nil"/>
              <w:bottom w:val="single" w:sz="4" w:space="0" w:color="auto"/>
              <w:right w:val="nil"/>
            </w:tcBorders>
            <w:shd w:val="clear" w:color="auto" w:fill="auto"/>
            <w:noWrap/>
            <w:vAlign w:val="bottom"/>
            <w:hideMark/>
          </w:tcPr>
          <w:p w14:paraId="05FB687B"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y</w:t>
            </w:r>
          </w:p>
        </w:tc>
        <w:tc>
          <w:tcPr>
            <w:tcW w:w="567" w:type="dxa"/>
            <w:tcBorders>
              <w:top w:val="nil"/>
              <w:left w:val="nil"/>
              <w:bottom w:val="single" w:sz="4" w:space="0" w:color="auto"/>
              <w:right w:val="nil"/>
            </w:tcBorders>
            <w:shd w:val="clear" w:color="auto" w:fill="auto"/>
            <w:noWrap/>
            <w:vAlign w:val="bottom"/>
            <w:hideMark/>
          </w:tcPr>
          <w:p w14:paraId="18E3F7F3"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z</w:t>
            </w:r>
          </w:p>
        </w:tc>
        <w:tc>
          <w:tcPr>
            <w:tcW w:w="851" w:type="dxa"/>
            <w:tcBorders>
              <w:top w:val="nil"/>
              <w:left w:val="nil"/>
              <w:bottom w:val="single" w:sz="4" w:space="0" w:color="auto"/>
              <w:right w:val="nil"/>
            </w:tcBorders>
            <w:shd w:val="clear" w:color="auto" w:fill="auto"/>
            <w:noWrap/>
            <w:vAlign w:val="bottom"/>
            <w:hideMark/>
          </w:tcPr>
          <w:p w14:paraId="7CABE0C4"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t</w:t>
            </w:r>
            <w:r w:rsidRPr="00F224F6">
              <w:rPr>
                <w:rFonts w:ascii="Arial" w:eastAsia="Times New Roman" w:hAnsi="Arial" w:cs="Arial"/>
                <w:color w:val="000000"/>
                <w:sz w:val="22"/>
                <w:szCs w:val="22"/>
                <w:vertAlign w:val="subscript"/>
                <w:lang w:val="en-GB"/>
              </w:rPr>
              <w:t>max</w:t>
            </w:r>
          </w:p>
        </w:tc>
        <w:tc>
          <w:tcPr>
            <w:tcW w:w="1275" w:type="dxa"/>
            <w:tcBorders>
              <w:top w:val="nil"/>
              <w:left w:val="nil"/>
              <w:bottom w:val="single" w:sz="4" w:space="0" w:color="auto"/>
              <w:right w:val="nil"/>
            </w:tcBorders>
            <w:shd w:val="clear" w:color="auto" w:fill="auto"/>
            <w:noWrap/>
            <w:vAlign w:val="bottom"/>
            <w:hideMark/>
          </w:tcPr>
          <w:p w14:paraId="68DAC7F2"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p</w:t>
            </w:r>
            <w:r w:rsidRPr="00F224F6">
              <w:rPr>
                <w:rFonts w:ascii="Arial" w:eastAsia="Times New Roman" w:hAnsi="Arial" w:cs="Arial"/>
                <w:color w:val="000000"/>
                <w:sz w:val="22"/>
                <w:szCs w:val="22"/>
                <w:vertAlign w:val="subscript"/>
                <w:lang w:val="en-GB"/>
              </w:rPr>
              <w:t>cluster</w:t>
            </w:r>
          </w:p>
        </w:tc>
      </w:tr>
      <w:tr w:rsidR="00F224F6" w:rsidRPr="00F224F6" w14:paraId="2A4386C7" w14:textId="77777777" w:rsidTr="00F224F6">
        <w:trPr>
          <w:trHeight w:val="260"/>
        </w:trPr>
        <w:tc>
          <w:tcPr>
            <w:tcW w:w="1244" w:type="dxa"/>
            <w:tcBorders>
              <w:top w:val="nil"/>
              <w:left w:val="nil"/>
              <w:bottom w:val="nil"/>
              <w:right w:val="nil"/>
            </w:tcBorders>
            <w:shd w:val="clear" w:color="auto" w:fill="auto"/>
            <w:noWrap/>
            <w:vAlign w:val="bottom"/>
            <w:hideMark/>
          </w:tcPr>
          <w:p w14:paraId="1ADAA4F0" w14:textId="77777777" w:rsidR="00F224F6" w:rsidRPr="00F224F6" w:rsidRDefault="00F224F6" w:rsidP="00F224F6">
            <w:pPr>
              <w:rPr>
                <w:rFonts w:ascii="Arial" w:eastAsia="Times New Roman" w:hAnsi="Arial" w:cs="Arial"/>
                <w:color w:val="000000"/>
                <w:sz w:val="22"/>
                <w:szCs w:val="22"/>
                <w:lang w:val="en-GB"/>
              </w:rPr>
            </w:pPr>
          </w:p>
        </w:tc>
        <w:tc>
          <w:tcPr>
            <w:tcW w:w="913" w:type="dxa"/>
            <w:tcBorders>
              <w:top w:val="nil"/>
              <w:left w:val="nil"/>
              <w:bottom w:val="nil"/>
              <w:right w:val="nil"/>
            </w:tcBorders>
            <w:shd w:val="clear" w:color="auto" w:fill="auto"/>
            <w:noWrap/>
            <w:vAlign w:val="bottom"/>
            <w:hideMark/>
          </w:tcPr>
          <w:p w14:paraId="50F659A3" w14:textId="77777777" w:rsidR="00F224F6" w:rsidRPr="00F224F6" w:rsidRDefault="00F224F6" w:rsidP="00F224F6">
            <w:pPr>
              <w:jc w:val="center"/>
              <w:rPr>
                <w:rFonts w:ascii="Arial" w:eastAsia="Times New Roman" w:hAnsi="Arial" w:cs="Arial"/>
                <w:color w:val="000000"/>
                <w:sz w:val="22"/>
                <w:szCs w:val="22"/>
                <w:lang w:val="en-GB"/>
              </w:rPr>
            </w:pPr>
          </w:p>
        </w:tc>
        <w:tc>
          <w:tcPr>
            <w:tcW w:w="3584" w:type="dxa"/>
            <w:tcBorders>
              <w:top w:val="nil"/>
              <w:left w:val="nil"/>
              <w:bottom w:val="nil"/>
              <w:right w:val="nil"/>
            </w:tcBorders>
            <w:shd w:val="clear" w:color="auto" w:fill="auto"/>
            <w:noWrap/>
            <w:vAlign w:val="bottom"/>
            <w:hideMark/>
          </w:tcPr>
          <w:p w14:paraId="15D9A2E0" w14:textId="77777777" w:rsidR="00F224F6" w:rsidRPr="00F224F6" w:rsidRDefault="00F224F6" w:rsidP="00F224F6">
            <w:pPr>
              <w:rPr>
                <w:rFonts w:ascii="Arial" w:eastAsia="Times New Roman" w:hAnsi="Arial" w:cs="Arial"/>
                <w:color w:val="000000"/>
                <w:sz w:val="22"/>
                <w:szCs w:val="22"/>
                <w:lang w:val="en-GB"/>
              </w:rPr>
            </w:pPr>
          </w:p>
        </w:tc>
        <w:tc>
          <w:tcPr>
            <w:tcW w:w="657" w:type="dxa"/>
            <w:tcBorders>
              <w:top w:val="nil"/>
              <w:left w:val="nil"/>
              <w:bottom w:val="nil"/>
              <w:right w:val="nil"/>
            </w:tcBorders>
            <w:shd w:val="clear" w:color="auto" w:fill="auto"/>
            <w:noWrap/>
            <w:vAlign w:val="bottom"/>
            <w:hideMark/>
          </w:tcPr>
          <w:p w14:paraId="594A2AFD" w14:textId="77777777" w:rsidR="00F224F6" w:rsidRPr="00F224F6" w:rsidRDefault="00F224F6" w:rsidP="00F224F6">
            <w:pPr>
              <w:jc w:val="center"/>
              <w:rPr>
                <w:rFonts w:ascii="Arial" w:eastAsia="Times New Roman" w:hAnsi="Arial" w:cs="Arial"/>
                <w:color w:val="000000"/>
                <w:sz w:val="22"/>
                <w:szCs w:val="22"/>
                <w:lang w:val="en-GB"/>
              </w:rPr>
            </w:pPr>
          </w:p>
        </w:tc>
        <w:tc>
          <w:tcPr>
            <w:tcW w:w="982" w:type="dxa"/>
            <w:tcBorders>
              <w:top w:val="nil"/>
              <w:left w:val="nil"/>
              <w:bottom w:val="nil"/>
              <w:right w:val="nil"/>
            </w:tcBorders>
            <w:shd w:val="clear" w:color="auto" w:fill="auto"/>
            <w:noWrap/>
            <w:vAlign w:val="bottom"/>
            <w:hideMark/>
          </w:tcPr>
          <w:p w14:paraId="0D600DEB" w14:textId="77777777" w:rsidR="00F224F6" w:rsidRPr="00F224F6" w:rsidRDefault="00F224F6" w:rsidP="00F224F6">
            <w:pPr>
              <w:jc w:val="center"/>
              <w:rPr>
                <w:rFonts w:ascii="Arial" w:eastAsia="Times New Roman" w:hAnsi="Arial" w:cs="Arial"/>
                <w:color w:val="000000"/>
                <w:sz w:val="22"/>
                <w:szCs w:val="22"/>
                <w:lang w:val="en-GB"/>
              </w:rPr>
            </w:pPr>
          </w:p>
        </w:tc>
        <w:tc>
          <w:tcPr>
            <w:tcW w:w="1243" w:type="dxa"/>
            <w:tcBorders>
              <w:top w:val="nil"/>
              <w:left w:val="nil"/>
              <w:bottom w:val="nil"/>
              <w:right w:val="nil"/>
            </w:tcBorders>
            <w:shd w:val="clear" w:color="auto" w:fill="auto"/>
            <w:noWrap/>
            <w:vAlign w:val="bottom"/>
            <w:hideMark/>
          </w:tcPr>
          <w:p w14:paraId="3902BA53" w14:textId="77777777" w:rsidR="00F224F6" w:rsidRPr="00F224F6" w:rsidRDefault="00F224F6" w:rsidP="00F224F6">
            <w:pPr>
              <w:jc w:val="center"/>
              <w:rPr>
                <w:rFonts w:ascii="Arial" w:eastAsia="Times New Roman" w:hAnsi="Arial" w:cs="Arial"/>
                <w:color w:val="000000"/>
                <w:sz w:val="22"/>
                <w:szCs w:val="22"/>
                <w:lang w:val="en-GB"/>
              </w:rPr>
            </w:pPr>
          </w:p>
        </w:tc>
        <w:tc>
          <w:tcPr>
            <w:tcW w:w="606" w:type="dxa"/>
            <w:tcBorders>
              <w:top w:val="nil"/>
              <w:left w:val="nil"/>
              <w:bottom w:val="nil"/>
              <w:right w:val="nil"/>
            </w:tcBorders>
            <w:shd w:val="clear" w:color="auto" w:fill="auto"/>
            <w:noWrap/>
            <w:vAlign w:val="bottom"/>
            <w:hideMark/>
          </w:tcPr>
          <w:p w14:paraId="38B2E6B5" w14:textId="77777777" w:rsidR="00F224F6" w:rsidRPr="00F224F6" w:rsidRDefault="00F224F6" w:rsidP="00F224F6">
            <w:pPr>
              <w:jc w:val="center"/>
              <w:rPr>
                <w:rFonts w:ascii="Arial" w:eastAsia="Times New Roman" w:hAnsi="Arial" w:cs="Arial"/>
                <w:color w:val="000000"/>
                <w:sz w:val="22"/>
                <w:szCs w:val="22"/>
                <w:lang w:val="en-GB"/>
              </w:rPr>
            </w:pPr>
          </w:p>
        </w:tc>
        <w:tc>
          <w:tcPr>
            <w:tcW w:w="567" w:type="dxa"/>
            <w:tcBorders>
              <w:top w:val="nil"/>
              <w:left w:val="nil"/>
              <w:bottom w:val="nil"/>
              <w:right w:val="nil"/>
            </w:tcBorders>
            <w:shd w:val="clear" w:color="auto" w:fill="auto"/>
            <w:noWrap/>
            <w:vAlign w:val="bottom"/>
            <w:hideMark/>
          </w:tcPr>
          <w:p w14:paraId="42497E74" w14:textId="77777777" w:rsidR="00F224F6" w:rsidRPr="00F224F6" w:rsidRDefault="00F224F6" w:rsidP="00F224F6">
            <w:pPr>
              <w:jc w:val="center"/>
              <w:rPr>
                <w:rFonts w:ascii="Arial" w:eastAsia="Times New Roman" w:hAnsi="Arial" w:cs="Arial"/>
                <w:color w:val="000000"/>
                <w:sz w:val="22"/>
                <w:szCs w:val="22"/>
                <w:lang w:val="en-GB"/>
              </w:rPr>
            </w:pPr>
          </w:p>
        </w:tc>
        <w:tc>
          <w:tcPr>
            <w:tcW w:w="567" w:type="dxa"/>
            <w:tcBorders>
              <w:top w:val="nil"/>
              <w:left w:val="nil"/>
              <w:bottom w:val="nil"/>
              <w:right w:val="nil"/>
            </w:tcBorders>
            <w:shd w:val="clear" w:color="auto" w:fill="auto"/>
            <w:noWrap/>
            <w:vAlign w:val="bottom"/>
            <w:hideMark/>
          </w:tcPr>
          <w:p w14:paraId="1884F3AC" w14:textId="77777777" w:rsidR="00F224F6" w:rsidRPr="00F224F6" w:rsidRDefault="00F224F6" w:rsidP="00F224F6">
            <w:pPr>
              <w:jc w:val="center"/>
              <w:rPr>
                <w:rFonts w:ascii="Arial" w:eastAsia="Times New Roman" w:hAnsi="Arial" w:cs="Arial"/>
                <w:color w:val="000000"/>
                <w:sz w:val="22"/>
                <w:szCs w:val="22"/>
                <w:lang w:val="en-GB"/>
              </w:rPr>
            </w:pPr>
          </w:p>
        </w:tc>
        <w:tc>
          <w:tcPr>
            <w:tcW w:w="851" w:type="dxa"/>
            <w:tcBorders>
              <w:top w:val="nil"/>
              <w:left w:val="nil"/>
              <w:bottom w:val="nil"/>
              <w:right w:val="nil"/>
            </w:tcBorders>
            <w:shd w:val="clear" w:color="auto" w:fill="auto"/>
            <w:noWrap/>
            <w:vAlign w:val="bottom"/>
            <w:hideMark/>
          </w:tcPr>
          <w:p w14:paraId="3F84C48F" w14:textId="77777777" w:rsidR="00F224F6" w:rsidRPr="00F224F6" w:rsidRDefault="00F224F6" w:rsidP="00F224F6">
            <w:pPr>
              <w:jc w:val="center"/>
              <w:rPr>
                <w:rFonts w:ascii="Arial" w:eastAsia="Times New Roman" w:hAnsi="Arial" w:cs="Arial"/>
                <w:color w:val="000000"/>
                <w:sz w:val="22"/>
                <w:szCs w:val="22"/>
                <w:lang w:val="en-GB"/>
              </w:rPr>
            </w:pPr>
          </w:p>
        </w:tc>
        <w:tc>
          <w:tcPr>
            <w:tcW w:w="1275" w:type="dxa"/>
            <w:tcBorders>
              <w:top w:val="nil"/>
              <w:left w:val="nil"/>
              <w:bottom w:val="nil"/>
              <w:right w:val="nil"/>
            </w:tcBorders>
            <w:shd w:val="clear" w:color="auto" w:fill="auto"/>
            <w:noWrap/>
            <w:vAlign w:val="bottom"/>
            <w:hideMark/>
          </w:tcPr>
          <w:p w14:paraId="637568D4" w14:textId="77777777" w:rsidR="00F224F6" w:rsidRPr="00F224F6" w:rsidRDefault="00F224F6" w:rsidP="00F224F6">
            <w:pPr>
              <w:jc w:val="center"/>
              <w:rPr>
                <w:rFonts w:ascii="Arial" w:eastAsia="Times New Roman" w:hAnsi="Arial" w:cs="Arial"/>
                <w:color w:val="000000"/>
                <w:sz w:val="22"/>
                <w:szCs w:val="22"/>
                <w:lang w:val="en-GB"/>
              </w:rPr>
            </w:pPr>
          </w:p>
        </w:tc>
      </w:tr>
      <w:tr w:rsidR="00F224F6" w:rsidRPr="00F224F6" w14:paraId="03791429" w14:textId="77777777" w:rsidTr="00F224F6">
        <w:trPr>
          <w:trHeight w:val="1300"/>
        </w:trPr>
        <w:tc>
          <w:tcPr>
            <w:tcW w:w="1244" w:type="dxa"/>
            <w:tcBorders>
              <w:top w:val="nil"/>
              <w:left w:val="nil"/>
              <w:bottom w:val="nil"/>
              <w:right w:val="nil"/>
            </w:tcBorders>
            <w:shd w:val="clear" w:color="auto" w:fill="auto"/>
            <w:noWrap/>
            <w:hideMark/>
          </w:tcPr>
          <w:p w14:paraId="7B963A22" w14:textId="77777777" w:rsidR="00F224F6" w:rsidRPr="00F224F6" w:rsidRDefault="00F224F6" w:rsidP="00F224F6">
            <w:pP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CT</w:t>
            </w:r>
          </w:p>
        </w:tc>
        <w:tc>
          <w:tcPr>
            <w:tcW w:w="913" w:type="dxa"/>
            <w:tcBorders>
              <w:top w:val="nil"/>
              <w:left w:val="nil"/>
              <w:bottom w:val="nil"/>
              <w:right w:val="nil"/>
            </w:tcBorders>
            <w:shd w:val="clear" w:color="auto" w:fill="auto"/>
            <w:noWrap/>
            <w:hideMark/>
          </w:tcPr>
          <w:p w14:paraId="4D41333F"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1</w:t>
            </w:r>
          </w:p>
        </w:tc>
        <w:tc>
          <w:tcPr>
            <w:tcW w:w="3584" w:type="dxa"/>
            <w:tcBorders>
              <w:top w:val="nil"/>
              <w:left w:val="nil"/>
              <w:bottom w:val="nil"/>
              <w:right w:val="nil"/>
            </w:tcBorders>
            <w:shd w:val="clear" w:color="auto" w:fill="auto"/>
            <w:hideMark/>
          </w:tcPr>
          <w:p w14:paraId="5957CC54" w14:textId="77777777" w:rsidR="00F224F6" w:rsidRPr="00F224F6" w:rsidRDefault="00F224F6" w:rsidP="00F224F6">
            <w:pP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 xml:space="preserve">insula, lateral orbital frontal cortex, pars orbitalis, pars triangularis, superior temporal gyrus, temporal pole, transverse temporal cortex </w:t>
            </w:r>
          </w:p>
        </w:tc>
        <w:tc>
          <w:tcPr>
            <w:tcW w:w="657" w:type="dxa"/>
            <w:tcBorders>
              <w:top w:val="nil"/>
              <w:left w:val="nil"/>
              <w:bottom w:val="nil"/>
              <w:right w:val="nil"/>
            </w:tcBorders>
            <w:shd w:val="clear" w:color="auto" w:fill="auto"/>
            <w:noWrap/>
            <w:hideMark/>
          </w:tcPr>
          <w:p w14:paraId="1846A78E"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L</w:t>
            </w:r>
          </w:p>
        </w:tc>
        <w:tc>
          <w:tcPr>
            <w:tcW w:w="982" w:type="dxa"/>
            <w:tcBorders>
              <w:top w:val="nil"/>
              <w:left w:val="nil"/>
              <w:bottom w:val="nil"/>
              <w:right w:val="nil"/>
            </w:tcBorders>
            <w:shd w:val="clear" w:color="auto" w:fill="auto"/>
            <w:noWrap/>
            <w:hideMark/>
          </w:tcPr>
          <w:p w14:paraId="6996C1C8"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13</w:t>
            </w:r>
          </w:p>
        </w:tc>
        <w:tc>
          <w:tcPr>
            <w:tcW w:w="1243" w:type="dxa"/>
            <w:tcBorders>
              <w:top w:val="nil"/>
              <w:left w:val="nil"/>
              <w:bottom w:val="nil"/>
              <w:right w:val="nil"/>
            </w:tcBorders>
            <w:shd w:val="clear" w:color="auto" w:fill="auto"/>
            <w:noWrap/>
            <w:hideMark/>
          </w:tcPr>
          <w:p w14:paraId="579515A2"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9701</w:t>
            </w:r>
          </w:p>
        </w:tc>
        <w:tc>
          <w:tcPr>
            <w:tcW w:w="606" w:type="dxa"/>
            <w:tcBorders>
              <w:top w:val="nil"/>
              <w:left w:val="nil"/>
              <w:bottom w:val="nil"/>
              <w:right w:val="nil"/>
            </w:tcBorders>
            <w:shd w:val="clear" w:color="auto" w:fill="auto"/>
            <w:noWrap/>
            <w:hideMark/>
          </w:tcPr>
          <w:p w14:paraId="0D6BCAFC"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-40</w:t>
            </w:r>
          </w:p>
        </w:tc>
        <w:tc>
          <w:tcPr>
            <w:tcW w:w="567" w:type="dxa"/>
            <w:tcBorders>
              <w:top w:val="nil"/>
              <w:left w:val="nil"/>
              <w:bottom w:val="nil"/>
              <w:right w:val="nil"/>
            </w:tcBorders>
            <w:shd w:val="clear" w:color="auto" w:fill="auto"/>
            <w:noWrap/>
            <w:hideMark/>
          </w:tcPr>
          <w:p w14:paraId="7B56E4EF"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-18</w:t>
            </w:r>
          </w:p>
        </w:tc>
        <w:tc>
          <w:tcPr>
            <w:tcW w:w="567" w:type="dxa"/>
            <w:tcBorders>
              <w:top w:val="nil"/>
              <w:left w:val="nil"/>
              <w:bottom w:val="nil"/>
              <w:right w:val="nil"/>
            </w:tcBorders>
            <w:shd w:val="clear" w:color="auto" w:fill="auto"/>
            <w:noWrap/>
            <w:hideMark/>
          </w:tcPr>
          <w:p w14:paraId="4F99984A"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-8</w:t>
            </w:r>
          </w:p>
        </w:tc>
        <w:tc>
          <w:tcPr>
            <w:tcW w:w="851" w:type="dxa"/>
            <w:tcBorders>
              <w:top w:val="nil"/>
              <w:left w:val="nil"/>
              <w:bottom w:val="nil"/>
              <w:right w:val="nil"/>
            </w:tcBorders>
            <w:shd w:val="clear" w:color="auto" w:fill="auto"/>
            <w:noWrap/>
            <w:hideMark/>
          </w:tcPr>
          <w:p w14:paraId="52742546"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-4.28</w:t>
            </w:r>
          </w:p>
        </w:tc>
        <w:tc>
          <w:tcPr>
            <w:tcW w:w="1275" w:type="dxa"/>
            <w:tcBorders>
              <w:top w:val="nil"/>
              <w:left w:val="nil"/>
              <w:bottom w:val="nil"/>
              <w:right w:val="nil"/>
            </w:tcBorders>
            <w:shd w:val="clear" w:color="auto" w:fill="auto"/>
            <w:noWrap/>
            <w:hideMark/>
          </w:tcPr>
          <w:p w14:paraId="4CC6D8D4"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9.46 x 10</w:t>
            </w:r>
            <w:r w:rsidRPr="00F224F6">
              <w:rPr>
                <w:rFonts w:ascii="Arial" w:eastAsia="Times New Roman" w:hAnsi="Arial" w:cs="Arial"/>
                <w:color w:val="000000"/>
                <w:sz w:val="22"/>
                <w:szCs w:val="22"/>
                <w:vertAlign w:val="superscript"/>
                <w:lang w:val="en-GB"/>
              </w:rPr>
              <w:t>-6</w:t>
            </w:r>
          </w:p>
        </w:tc>
      </w:tr>
      <w:tr w:rsidR="00F224F6" w:rsidRPr="00F224F6" w14:paraId="21238BDB" w14:textId="77777777" w:rsidTr="00F224F6">
        <w:trPr>
          <w:trHeight w:val="1300"/>
        </w:trPr>
        <w:tc>
          <w:tcPr>
            <w:tcW w:w="1244" w:type="dxa"/>
            <w:tcBorders>
              <w:top w:val="nil"/>
              <w:left w:val="nil"/>
              <w:bottom w:val="nil"/>
              <w:right w:val="nil"/>
            </w:tcBorders>
            <w:shd w:val="clear" w:color="auto" w:fill="auto"/>
            <w:noWrap/>
            <w:hideMark/>
          </w:tcPr>
          <w:p w14:paraId="570725E3" w14:textId="77777777" w:rsidR="00F224F6" w:rsidRPr="00F224F6" w:rsidRDefault="00F224F6" w:rsidP="00F224F6">
            <w:pPr>
              <w:rPr>
                <w:rFonts w:ascii="Arial" w:eastAsia="Times New Roman" w:hAnsi="Arial" w:cs="Arial"/>
                <w:color w:val="000000"/>
                <w:sz w:val="22"/>
                <w:szCs w:val="22"/>
                <w:lang w:val="en-GB"/>
              </w:rPr>
            </w:pPr>
          </w:p>
        </w:tc>
        <w:tc>
          <w:tcPr>
            <w:tcW w:w="913" w:type="dxa"/>
            <w:tcBorders>
              <w:top w:val="nil"/>
              <w:left w:val="nil"/>
              <w:bottom w:val="nil"/>
              <w:right w:val="nil"/>
            </w:tcBorders>
            <w:shd w:val="clear" w:color="auto" w:fill="auto"/>
            <w:noWrap/>
            <w:hideMark/>
          </w:tcPr>
          <w:p w14:paraId="484549C2"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2</w:t>
            </w:r>
          </w:p>
        </w:tc>
        <w:tc>
          <w:tcPr>
            <w:tcW w:w="3584" w:type="dxa"/>
            <w:tcBorders>
              <w:top w:val="nil"/>
              <w:left w:val="nil"/>
              <w:bottom w:val="nil"/>
              <w:right w:val="nil"/>
            </w:tcBorders>
            <w:shd w:val="clear" w:color="auto" w:fill="auto"/>
            <w:hideMark/>
          </w:tcPr>
          <w:p w14:paraId="252B7E94" w14:textId="77777777" w:rsidR="00F224F6" w:rsidRPr="00F224F6" w:rsidRDefault="00F224F6" w:rsidP="00F224F6">
            <w:pP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caudal anterior-cingulate cortex, isthmus-cingulate cortex, posterior-cingulate cortex, precuneus cortex, superior frontal gyrus</w:t>
            </w:r>
          </w:p>
        </w:tc>
        <w:tc>
          <w:tcPr>
            <w:tcW w:w="657" w:type="dxa"/>
            <w:tcBorders>
              <w:top w:val="nil"/>
              <w:left w:val="nil"/>
              <w:bottom w:val="nil"/>
              <w:right w:val="nil"/>
            </w:tcBorders>
            <w:shd w:val="clear" w:color="auto" w:fill="auto"/>
            <w:noWrap/>
            <w:hideMark/>
          </w:tcPr>
          <w:p w14:paraId="10A3CB36"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R</w:t>
            </w:r>
          </w:p>
        </w:tc>
        <w:tc>
          <w:tcPr>
            <w:tcW w:w="982" w:type="dxa"/>
            <w:tcBorders>
              <w:top w:val="nil"/>
              <w:left w:val="nil"/>
              <w:bottom w:val="nil"/>
              <w:right w:val="nil"/>
            </w:tcBorders>
            <w:shd w:val="clear" w:color="auto" w:fill="auto"/>
            <w:noWrap/>
            <w:hideMark/>
          </w:tcPr>
          <w:p w14:paraId="76B7891E"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23/24</w:t>
            </w:r>
          </w:p>
        </w:tc>
        <w:tc>
          <w:tcPr>
            <w:tcW w:w="1243" w:type="dxa"/>
            <w:tcBorders>
              <w:top w:val="nil"/>
              <w:left w:val="nil"/>
              <w:bottom w:val="nil"/>
              <w:right w:val="nil"/>
            </w:tcBorders>
            <w:shd w:val="clear" w:color="auto" w:fill="auto"/>
            <w:noWrap/>
            <w:hideMark/>
          </w:tcPr>
          <w:p w14:paraId="7A142E12"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6025</w:t>
            </w:r>
          </w:p>
        </w:tc>
        <w:tc>
          <w:tcPr>
            <w:tcW w:w="606" w:type="dxa"/>
            <w:tcBorders>
              <w:top w:val="nil"/>
              <w:left w:val="nil"/>
              <w:bottom w:val="nil"/>
              <w:right w:val="nil"/>
            </w:tcBorders>
            <w:shd w:val="clear" w:color="auto" w:fill="auto"/>
            <w:noWrap/>
            <w:hideMark/>
          </w:tcPr>
          <w:p w14:paraId="73385136"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10</w:t>
            </w:r>
          </w:p>
        </w:tc>
        <w:tc>
          <w:tcPr>
            <w:tcW w:w="567" w:type="dxa"/>
            <w:tcBorders>
              <w:top w:val="nil"/>
              <w:left w:val="nil"/>
              <w:bottom w:val="nil"/>
              <w:right w:val="nil"/>
            </w:tcBorders>
            <w:shd w:val="clear" w:color="auto" w:fill="auto"/>
            <w:noWrap/>
            <w:hideMark/>
          </w:tcPr>
          <w:p w14:paraId="52907B61"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-14</w:t>
            </w:r>
          </w:p>
        </w:tc>
        <w:tc>
          <w:tcPr>
            <w:tcW w:w="567" w:type="dxa"/>
            <w:tcBorders>
              <w:top w:val="nil"/>
              <w:left w:val="nil"/>
              <w:bottom w:val="nil"/>
              <w:right w:val="nil"/>
            </w:tcBorders>
            <w:shd w:val="clear" w:color="auto" w:fill="auto"/>
            <w:noWrap/>
            <w:hideMark/>
          </w:tcPr>
          <w:p w14:paraId="0BDA0E56"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36</w:t>
            </w:r>
          </w:p>
        </w:tc>
        <w:tc>
          <w:tcPr>
            <w:tcW w:w="851" w:type="dxa"/>
            <w:tcBorders>
              <w:top w:val="nil"/>
              <w:left w:val="nil"/>
              <w:bottom w:val="nil"/>
              <w:right w:val="nil"/>
            </w:tcBorders>
            <w:shd w:val="clear" w:color="auto" w:fill="auto"/>
            <w:noWrap/>
            <w:hideMark/>
          </w:tcPr>
          <w:p w14:paraId="4764A167"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-3.26</w:t>
            </w:r>
          </w:p>
        </w:tc>
        <w:tc>
          <w:tcPr>
            <w:tcW w:w="1275" w:type="dxa"/>
            <w:tcBorders>
              <w:top w:val="nil"/>
              <w:left w:val="nil"/>
              <w:bottom w:val="nil"/>
              <w:right w:val="nil"/>
            </w:tcBorders>
            <w:shd w:val="clear" w:color="auto" w:fill="auto"/>
            <w:noWrap/>
            <w:hideMark/>
          </w:tcPr>
          <w:p w14:paraId="7A90D40A"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2.29 x 10</w:t>
            </w:r>
            <w:r w:rsidRPr="00F224F6">
              <w:rPr>
                <w:rFonts w:ascii="Arial" w:eastAsia="Times New Roman" w:hAnsi="Arial" w:cs="Arial"/>
                <w:color w:val="000000"/>
                <w:sz w:val="22"/>
                <w:szCs w:val="22"/>
                <w:vertAlign w:val="superscript"/>
                <w:lang w:val="en-GB"/>
              </w:rPr>
              <w:t>-4</w:t>
            </w:r>
          </w:p>
        </w:tc>
      </w:tr>
      <w:tr w:rsidR="00F224F6" w:rsidRPr="00F224F6" w14:paraId="7CA3F567" w14:textId="77777777" w:rsidTr="00F224F6">
        <w:trPr>
          <w:trHeight w:val="520"/>
        </w:trPr>
        <w:tc>
          <w:tcPr>
            <w:tcW w:w="1244" w:type="dxa"/>
            <w:tcBorders>
              <w:top w:val="nil"/>
              <w:left w:val="nil"/>
              <w:bottom w:val="nil"/>
              <w:right w:val="nil"/>
            </w:tcBorders>
            <w:shd w:val="clear" w:color="auto" w:fill="auto"/>
            <w:noWrap/>
            <w:hideMark/>
          </w:tcPr>
          <w:p w14:paraId="6BB90CB9" w14:textId="77777777" w:rsidR="00F224F6" w:rsidRPr="00F224F6" w:rsidRDefault="00F224F6" w:rsidP="00F224F6">
            <w:pPr>
              <w:rPr>
                <w:rFonts w:ascii="Arial" w:eastAsia="Times New Roman" w:hAnsi="Arial" w:cs="Arial"/>
                <w:color w:val="000000"/>
                <w:sz w:val="22"/>
                <w:szCs w:val="22"/>
                <w:lang w:val="en-GB"/>
              </w:rPr>
            </w:pPr>
          </w:p>
        </w:tc>
        <w:tc>
          <w:tcPr>
            <w:tcW w:w="913" w:type="dxa"/>
            <w:tcBorders>
              <w:top w:val="nil"/>
              <w:left w:val="nil"/>
              <w:bottom w:val="nil"/>
              <w:right w:val="nil"/>
            </w:tcBorders>
            <w:shd w:val="clear" w:color="auto" w:fill="auto"/>
            <w:noWrap/>
            <w:hideMark/>
          </w:tcPr>
          <w:p w14:paraId="352A0FF1"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3</w:t>
            </w:r>
          </w:p>
        </w:tc>
        <w:tc>
          <w:tcPr>
            <w:tcW w:w="3584" w:type="dxa"/>
            <w:tcBorders>
              <w:top w:val="nil"/>
              <w:left w:val="nil"/>
              <w:bottom w:val="nil"/>
              <w:right w:val="nil"/>
            </w:tcBorders>
            <w:shd w:val="clear" w:color="auto" w:fill="auto"/>
            <w:hideMark/>
          </w:tcPr>
          <w:p w14:paraId="29B25869" w14:textId="77777777" w:rsidR="00F224F6" w:rsidRPr="00F224F6" w:rsidRDefault="00F224F6" w:rsidP="00F224F6">
            <w:pP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angular gyrus, inferior parietal cortex, lateral occipital cortex</w:t>
            </w:r>
          </w:p>
        </w:tc>
        <w:tc>
          <w:tcPr>
            <w:tcW w:w="657" w:type="dxa"/>
            <w:tcBorders>
              <w:top w:val="nil"/>
              <w:left w:val="nil"/>
              <w:bottom w:val="nil"/>
              <w:right w:val="nil"/>
            </w:tcBorders>
            <w:shd w:val="clear" w:color="auto" w:fill="auto"/>
            <w:noWrap/>
            <w:hideMark/>
          </w:tcPr>
          <w:p w14:paraId="39F66F0A"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L</w:t>
            </w:r>
          </w:p>
        </w:tc>
        <w:tc>
          <w:tcPr>
            <w:tcW w:w="982" w:type="dxa"/>
            <w:tcBorders>
              <w:top w:val="nil"/>
              <w:left w:val="nil"/>
              <w:bottom w:val="nil"/>
              <w:right w:val="nil"/>
            </w:tcBorders>
            <w:shd w:val="clear" w:color="auto" w:fill="auto"/>
            <w:noWrap/>
            <w:hideMark/>
          </w:tcPr>
          <w:p w14:paraId="3E0EA3A1"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39</w:t>
            </w:r>
          </w:p>
        </w:tc>
        <w:tc>
          <w:tcPr>
            <w:tcW w:w="1243" w:type="dxa"/>
            <w:tcBorders>
              <w:top w:val="nil"/>
              <w:left w:val="nil"/>
              <w:bottom w:val="nil"/>
              <w:right w:val="nil"/>
            </w:tcBorders>
            <w:shd w:val="clear" w:color="auto" w:fill="auto"/>
            <w:noWrap/>
            <w:hideMark/>
          </w:tcPr>
          <w:p w14:paraId="52A83EE3"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4095</w:t>
            </w:r>
          </w:p>
        </w:tc>
        <w:tc>
          <w:tcPr>
            <w:tcW w:w="606" w:type="dxa"/>
            <w:tcBorders>
              <w:top w:val="nil"/>
              <w:left w:val="nil"/>
              <w:bottom w:val="nil"/>
              <w:right w:val="nil"/>
            </w:tcBorders>
            <w:shd w:val="clear" w:color="auto" w:fill="auto"/>
            <w:noWrap/>
            <w:hideMark/>
          </w:tcPr>
          <w:p w14:paraId="1B817DC8"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-43</w:t>
            </w:r>
          </w:p>
        </w:tc>
        <w:tc>
          <w:tcPr>
            <w:tcW w:w="567" w:type="dxa"/>
            <w:tcBorders>
              <w:top w:val="nil"/>
              <w:left w:val="nil"/>
              <w:bottom w:val="nil"/>
              <w:right w:val="nil"/>
            </w:tcBorders>
            <w:shd w:val="clear" w:color="auto" w:fill="auto"/>
            <w:noWrap/>
            <w:hideMark/>
          </w:tcPr>
          <w:p w14:paraId="51C32A09"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-65</w:t>
            </w:r>
          </w:p>
        </w:tc>
        <w:tc>
          <w:tcPr>
            <w:tcW w:w="567" w:type="dxa"/>
            <w:tcBorders>
              <w:top w:val="nil"/>
              <w:left w:val="nil"/>
              <w:bottom w:val="nil"/>
              <w:right w:val="nil"/>
            </w:tcBorders>
            <w:shd w:val="clear" w:color="auto" w:fill="auto"/>
            <w:noWrap/>
            <w:hideMark/>
          </w:tcPr>
          <w:p w14:paraId="473086F1"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22</w:t>
            </w:r>
          </w:p>
        </w:tc>
        <w:tc>
          <w:tcPr>
            <w:tcW w:w="851" w:type="dxa"/>
            <w:tcBorders>
              <w:top w:val="nil"/>
              <w:left w:val="nil"/>
              <w:bottom w:val="nil"/>
              <w:right w:val="nil"/>
            </w:tcBorders>
            <w:shd w:val="clear" w:color="auto" w:fill="auto"/>
            <w:noWrap/>
            <w:hideMark/>
          </w:tcPr>
          <w:p w14:paraId="2BB5A611"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-4.19</w:t>
            </w:r>
          </w:p>
        </w:tc>
        <w:tc>
          <w:tcPr>
            <w:tcW w:w="1275" w:type="dxa"/>
            <w:tcBorders>
              <w:top w:val="nil"/>
              <w:left w:val="nil"/>
              <w:bottom w:val="nil"/>
              <w:right w:val="nil"/>
            </w:tcBorders>
            <w:shd w:val="clear" w:color="auto" w:fill="auto"/>
            <w:noWrap/>
            <w:hideMark/>
          </w:tcPr>
          <w:p w14:paraId="72B09DD5"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1.62 x 10</w:t>
            </w:r>
            <w:r w:rsidRPr="00F224F6">
              <w:rPr>
                <w:rFonts w:ascii="Arial" w:eastAsia="Times New Roman" w:hAnsi="Arial" w:cs="Arial"/>
                <w:color w:val="000000"/>
                <w:sz w:val="22"/>
                <w:szCs w:val="22"/>
                <w:vertAlign w:val="superscript"/>
                <w:lang w:val="en-GB"/>
              </w:rPr>
              <w:t>-3</w:t>
            </w:r>
          </w:p>
        </w:tc>
      </w:tr>
      <w:tr w:rsidR="00F224F6" w:rsidRPr="00F224F6" w14:paraId="45BB6F26" w14:textId="77777777" w:rsidTr="00F224F6">
        <w:trPr>
          <w:trHeight w:val="520"/>
        </w:trPr>
        <w:tc>
          <w:tcPr>
            <w:tcW w:w="1244" w:type="dxa"/>
            <w:tcBorders>
              <w:top w:val="nil"/>
              <w:left w:val="nil"/>
              <w:bottom w:val="nil"/>
              <w:right w:val="nil"/>
            </w:tcBorders>
            <w:shd w:val="clear" w:color="auto" w:fill="auto"/>
            <w:noWrap/>
            <w:hideMark/>
          </w:tcPr>
          <w:p w14:paraId="390A6887" w14:textId="77777777" w:rsidR="00F224F6" w:rsidRPr="00F224F6" w:rsidRDefault="00F224F6" w:rsidP="00F224F6">
            <w:pPr>
              <w:rPr>
                <w:rFonts w:ascii="Arial" w:eastAsia="Times New Roman" w:hAnsi="Arial" w:cs="Arial"/>
                <w:color w:val="000000"/>
                <w:sz w:val="22"/>
                <w:szCs w:val="22"/>
                <w:lang w:val="en-GB"/>
              </w:rPr>
            </w:pPr>
          </w:p>
        </w:tc>
        <w:tc>
          <w:tcPr>
            <w:tcW w:w="913" w:type="dxa"/>
            <w:tcBorders>
              <w:top w:val="nil"/>
              <w:left w:val="nil"/>
              <w:bottom w:val="nil"/>
              <w:right w:val="nil"/>
            </w:tcBorders>
            <w:shd w:val="clear" w:color="auto" w:fill="auto"/>
            <w:noWrap/>
            <w:hideMark/>
          </w:tcPr>
          <w:p w14:paraId="5F58E379"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4</w:t>
            </w:r>
          </w:p>
        </w:tc>
        <w:tc>
          <w:tcPr>
            <w:tcW w:w="3584" w:type="dxa"/>
            <w:tcBorders>
              <w:top w:val="nil"/>
              <w:left w:val="nil"/>
              <w:bottom w:val="nil"/>
              <w:right w:val="nil"/>
            </w:tcBorders>
            <w:shd w:val="clear" w:color="auto" w:fill="auto"/>
            <w:hideMark/>
          </w:tcPr>
          <w:p w14:paraId="701B9064" w14:textId="77777777" w:rsidR="00F224F6" w:rsidRPr="00F224F6" w:rsidRDefault="00F224F6" w:rsidP="00F224F6">
            <w:pP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precentral gyrus, postcentral gyrus, superior parietal cortex</w:t>
            </w:r>
          </w:p>
        </w:tc>
        <w:tc>
          <w:tcPr>
            <w:tcW w:w="657" w:type="dxa"/>
            <w:tcBorders>
              <w:top w:val="nil"/>
              <w:left w:val="nil"/>
              <w:bottom w:val="nil"/>
              <w:right w:val="nil"/>
            </w:tcBorders>
            <w:shd w:val="clear" w:color="auto" w:fill="auto"/>
            <w:noWrap/>
            <w:hideMark/>
          </w:tcPr>
          <w:p w14:paraId="6C7F3AB2"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L</w:t>
            </w:r>
          </w:p>
        </w:tc>
        <w:tc>
          <w:tcPr>
            <w:tcW w:w="982" w:type="dxa"/>
            <w:tcBorders>
              <w:top w:val="nil"/>
              <w:left w:val="nil"/>
              <w:bottom w:val="nil"/>
              <w:right w:val="nil"/>
            </w:tcBorders>
            <w:shd w:val="clear" w:color="auto" w:fill="auto"/>
            <w:noWrap/>
            <w:hideMark/>
          </w:tcPr>
          <w:p w14:paraId="67FBADEE"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4</w:t>
            </w:r>
          </w:p>
        </w:tc>
        <w:tc>
          <w:tcPr>
            <w:tcW w:w="1243" w:type="dxa"/>
            <w:tcBorders>
              <w:top w:val="nil"/>
              <w:left w:val="nil"/>
              <w:bottom w:val="nil"/>
              <w:right w:val="nil"/>
            </w:tcBorders>
            <w:shd w:val="clear" w:color="auto" w:fill="auto"/>
            <w:noWrap/>
            <w:hideMark/>
          </w:tcPr>
          <w:p w14:paraId="3D4C79A0"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5078</w:t>
            </w:r>
          </w:p>
        </w:tc>
        <w:tc>
          <w:tcPr>
            <w:tcW w:w="606" w:type="dxa"/>
            <w:tcBorders>
              <w:top w:val="nil"/>
              <w:left w:val="nil"/>
              <w:bottom w:val="nil"/>
              <w:right w:val="nil"/>
            </w:tcBorders>
            <w:shd w:val="clear" w:color="auto" w:fill="auto"/>
            <w:noWrap/>
            <w:hideMark/>
          </w:tcPr>
          <w:p w14:paraId="39E2B3C3"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-41</w:t>
            </w:r>
          </w:p>
        </w:tc>
        <w:tc>
          <w:tcPr>
            <w:tcW w:w="567" w:type="dxa"/>
            <w:tcBorders>
              <w:top w:val="nil"/>
              <w:left w:val="nil"/>
              <w:bottom w:val="nil"/>
              <w:right w:val="nil"/>
            </w:tcBorders>
            <w:shd w:val="clear" w:color="auto" w:fill="auto"/>
            <w:noWrap/>
            <w:hideMark/>
          </w:tcPr>
          <w:p w14:paraId="49170200"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-20</w:t>
            </w:r>
          </w:p>
        </w:tc>
        <w:tc>
          <w:tcPr>
            <w:tcW w:w="567" w:type="dxa"/>
            <w:tcBorders>
              <w:top w:val="nil"/>
              <w:left w:val="nil"/>
              <w:bottom w:val="nil"/>
              <w:right w:val="nil"/>
            </w:tcBorders>
            <w:shd w:val="clear" w:color="auto" w:fill="auto"/>
            <w:noWrap/>
            <w:hideMark/>
          </w:tcPr>
          <w:p w14:paraId="12B4A2C1"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34</w:t>
            </w:r>
          </w:p>
        </w:tc>
        <w:tc>
          <w:tcPr>
            <w:tcW w:w="851" w:type="dxa"/>
            <w:tcBorders>
              <w:top w:val="nil"/>
              <w:left w:val="nil"/>
              <w:bottom w:val="nil"/>
              <w:right w:val="nil"/>
            </w:tcBorders>
            <w:shd w:val="clear" w:color="auto" w:fill="auto"/>
            <w:noWrap/>
            <w:hideMark/>
          </w:tcPr>
          <w:p w14:paraId="36D4770B"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-3.44</w:t>
            </w:r>
          </w:p>
        </w:tc>
        <w:tc>
          <w:tcPr>
            <w:tcW w:w="1275" w:type="dxa"/>
            <w:tcBorders>
              <w:top w:val="nil"/>
              <w:left w:val="nil"/>
              <w:bottom w:val="nil"/>
              <w:right w:val="nil"/>
            </w:tcBorders>
            <w:shd w:val="clear" w:color="auto" w:fill="auto"/>
            <w:noWrap/>
            <w:hideMark/>
          </w:tcPr>
          <w:p w14:paraId="0FE7ABED"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4.78 x 10</w:t>
            </w:r>
            <w:r w:rsidRPr="00F224F6">
              <w:rPr>
                <w:rFonts w:ascii="Arial" w:eastAsia="Times New Roman" w:hAnsi="Arial" w:cs="Arial"/>
                <w:color w:val="000000"/>
                <w:sz w:val="22"/>
                <w:szCs w:val="22"/>
                <w:vertAlign w:val="superscript"/>
                <w:lang w:val="en-GB"/>
              </w:rPr>
              <w:t>-3</w:t>
            </w:r>
          </w:p>
        </w:tc>
      </w:tr>
      <w:tr w:rsidR="00F224F6" w:rsidRPr="00F224F6" w14:paraId="08D05B78" w14:textId="77777777" w:rsidTr="00F224F6">
        <w:trPr>
          <w:trHeight w:val="520"/>
        </w:trPr>
        <w:tc>
          <w:tcPr>
            <w:tcW w:w="1244" w:type="dxa"/>
            <w:tcBorders>
              <w:top w:val="nil"/>
              <w:left w:val="nil"/>
              <w:bottom w:val="nil"/>
              <w:right w:val="nil"/>
            </w:tcBorders>
            <w:shd w:val="clear" w:color="auto" w:fill="auto"/>
            <w:noWrap/>
            <w:hideMark/>
          </w:tcPr>
          <w:p w14:paraId="42A3ECA8" w14:textId="77777777" w:rsidR="00F224F6" w:rsidRPr="00F224F6" w:rsidRDefault="00F224F6" w:rsidP="00F224F6">
            <w:pPr>
              <w:rPr>
                <w:rFonts w:ascii="Arial" w:eastAsia="Times New Roman" w:hAnsi="Arial" w:cs="Arial"/>
                <w:color w:val="000000"/>
                <w:sz w:val="22"/>
                <w:szCs w:val="22"/>
                <w:lang w:val="en-GB"/>
              </w:rPr>
            </w:pPr>
          </w:p>
        </w:tc>
        <w:tc>
          <w:tcPr>
            <w:tcW w:w="913" w:type="dxa"/>
            <w:tcBorders>
              <w:top w:val="nil"/>
              <w:left w:val="nil"/>
              <w:bottom w:val="nil"/>
              <w:right w:val="nil"/>
            </w:tcBorders>
            <w:shd w:val="clear" w:color="auto" w:fill="auto"/>
            <w:noWrap/>
            <w:hideMark/>
          </w:tcPr>
          <w:p w14:paraId="25BAB96E"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5</w:t>
            </w:r>
          </w:p>
        </w:tc>
        <w:tc>
          <w:tcPr>
            <w:tcW w:w="3584" w:type="dxa"/>
            <w:tcBorders>
              <w:top w:val="nil"/>
              <w:left w:val="nil"/>
              <w:bottom w:val="nil"/>
              <w:right w:val="nil"/>
            </w:tcBorders>
            <w:shd w:val="clear" w:color="auto" w:fill="auto"/>
            <w:hideMark/>
          </w:tcPr>
          <w:p w14:paraId="076886FB" w14:textId="77777777" w:rsidR="00F224F6" w:rsidRPr="00F224F6" w:rsidRDefault="00F224F6" w:rsidP="00F224F6">
            <w:pP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pars opercularis, postcentral gyrus, precentral gyrus</w:t>
            </w:r>
          </w:p>
        </w:tc>
        <w:tc>
          <w:tcPr>
            <w:tcW w:w="657" w:type="dxa"/>
            <w:tcBorders>
              <w:top w:val="nil"/>
              <w:left w:val="nil"/>
              <w:bottom w:val="nil"/>
              <w:right w:val="nil"/>
            </w:tcBorders>
            <w:shd w:val="clear" w:color="auto" w:fill="auto"/>
            <w:noWrap/>
            <w:hideMark/>
          </w:tcPr>
          <w:p w14:paraId="500F12BD"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L</w:t>
            </w:r>
          </w:p>
        </w:tc>
        <w:tc>
          <w:tcPr>
            <w:tcW w:w="982" w:type="dxa"/>
            <w:tcBorders>
              <w:top w:val="nil"/>
              <w:left w:val="nil"/>
              <w:bottom w:val="nil"/>
              <w:right w:val="nil"/>
            </w:tcBorders>
            <w:shd w:val="clear" w:color="auto" w:fill="auto"/>
            <w:noWrap/>
            <w:hideMark/>
          </w:tcPr>
          <w:p w14:paraId="6D4EC868"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44</w:t>
            </w:r>
          </w:p>
        </w:tc>
        <w:tc>
          <w:tcPr>
            <w:tcW w:w="1243" w:type="dxa"/>
            <w:tcBorders>
              <w:top w:val="nil"/>
              <w:left w:val="nil"/>
              <w:bottom w:val="nil"/>
              <w:right w:val="nil"/>
            </w:tcBorders>
            <w:shd w:val="clear" w:color="auto" w:fill="auto"/>
            <w:noWrap/>
            <w:hideMark/>
          </w:tcPr>
          <w:p w14:paraId="026B1F44"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3534</w:t>
            </w:r>
          </w:p>
        </w:tc>
        <w:tc>
          <w:tcPr>
            <w:tcW w:w="606" w:type="dxa"/>
            <w:tcBorders>
              <w:top w:val="nil"/>
              <w:left w:val="nil"/>
              <w:bottom w:val="nil"/>
              <w:right w:val="nil"/>
            </w:tcBorders>
            <w:shd w:val="clear" w:color="auto" w:fill="auto"/>
            <w:noWrap/>
            <w:hideMark/>
          </w:tcPr>
          <w:p w14:paraId="629B3351"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-41</w:t>
            </w:r>
          </w:p>
        </w:tc>
        <w:tc>
          <w:tcPr>
            <w:tcW w:w="567" w:type="dxa"/>
            <w:tcBorders>
              <w:top w:val="nil"/>
              <w:left w:val="nil"/>
              <w:bottom w:val="nil"/>
              <w:right w:val="nil"/>
            </w:tcBorders>
            <w:shd w:val="clear" w:color="auto" w:fill="auto"/>
            <w:noWrap/>
            <w:hideMark/>
          </w:tcPr>
          <w:p w14:paraId="770C8C6E"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12</w:t>
            </w:r>
          </w:p>
        </w:tc>
        <w:tc>
          <w:tcPr>
            <w:tcW w:w="567" w:type="dxa"/>
            <w:tcBorders>
              <w:top w:val="nil"/>
              <w:left w:val="nil"/>
              <w:bottom w:val="nil"/>
              <w:right w:val="nil"/>
            </w:tcBorders>
            <w:shd w:val="clear" w:color="auto" w:fill="auto"/>
            <w:noWrap/>
            <w:hideMark/>
          </w:tcPr>
          <w:p w14:paraId="37745F48"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5</w:t>
            </w:r>
          </w:p>
        </w:tc>
        <w:tc>
          <w:tcPr>
            <w:tcW w:w="851" w:type="dxa"/>
            <w:tcBorders>
              <w:top w:val="nil"/>
              <w:left w:val="nil"/>
              <w:bottom w:val="nil"/>
              <w:right w:val="nil"/>
            </w:tcBorders>
            <w:shd w:val="clear" w:color="auto" w:fill="auto"/>
            <w:noWrap/>
            <w:hideMark/>
          </w:tcPr>
          <w:p w14:paraId="067828CC"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-3.43</w:t>
            </w:r>
          </w:p>
        </w:tc>
        <w:tc>
          <w:tcPr>
            <w:tcW w:w="1275" w:type="dxa"/>
            <w:tcBorders>
              <w:top w:val="nil"/>
              <w:left w:val="nil"/>
              <w:bottom w:val="nil"/>
              <w:right w:val="nil"/>
            </w:tcBorders>
            <w:shd w:val="clear" w:color="auto" w:fill="auto"/>
            <w:noWrap/>
            <w:hideMark/>
          </w:tcPr>
          <w:p w14:paraId="4AC1D334"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2.22 x 10</w:t>
            </w:r>
            <w:r w:rsidRPr="00F224F6">
              <w:rPr>
                <w:rFonts w:ascii="Arial" w:eastAsia="Times New Roman" w:hAnsi="Arial" w:cs="Arial"/>
                <w:color w:val="000000"/>
                <w:sz w:val="22"/>
                <w:szCs w:val="22"/>
                <w:vertAlign w:val="superscript"/>
                <w:lang w:val="en-GB"/>
              </w:rPr>
              <w:t>-2</w:t>
            </w:r>
          </w:p>
        </w:tc>
      </w:tr>
      <w:tr w:rsidR="00F224F6" w:rsidRPr="00F224F6" w14:paraId="4EBEA3FF" w14:textId="77777777" w:rsidTr="00F224F6">
        <w:trPr>
          <w:trHeight w:val="520"/>
        </w:trPr>
        <w:tc>
          <w:tcPr>
            <w:tcW w:w="1244" w:type="dxa"/>
            <w:tcBorders>
              <w:top w:val="nil"/>
              <w:left w:val="nil"/>
              <w:bottom w:val="nil"/>
              <w:right w:val="nil"/>
            </w:tcBorders>
            <w:shd w:val="clear" w:color="auto" w:fill="auto"/>
            <w:noWrap/>
            <w:hideMark/>
          </w:tcPr>
          <w:p w14:paraId="3C51BB73" w14:textId="77777777" w:rsidR="00F224F6" w:rsidRPr="00F224F6" w:rsidRDefault="00F224F6" w:rsidP="00F224F6">
            <w:pPr>
              <w:rPr>
                <w:rFonts w:ascii="Arial" w:eastAsia="Times New Roman" w:hAnsi="Arial" w:cs="Arial"/>
                <w:color w:val="000000"/>
                <w:sz w:val="22"/>
                <w:szCs w:val="22"/>
                <w:lang w:val="en-GB"/>
              </w:rPr>
            </w:pPr>
          </w:p>
        </w:tc>
        <w:tc>
          <w:tcPr>
            <w:tcW w:w="913" w:type="dxa"/>
            <w:tcBorders>
              <w:top w:val="nil"/>
              <w:left w:val="nil"/>
              <w:bottom w:val="nil"/>
              <w:right w:val="nil"/>
            </w:tcBorders>
            <w:shd w:val="clear" w:color="auto" w:fill="auto"/>
            <w:noWrap/>
            <w:hideMark/>
          </w:tcPr>
          <w:p w14:paraId="2690EEBD"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6</w:t>
            </w:r>
          </w:p>
        </w:tc>
        <w:tc>
          <w:tcPr>
            <w:tcW w:w="3584" w:type="dxa"/>
            <w:tcBorders>
              <w:top w:val="nil"/>
              <w:left w:val="nil"/>
              <w:bottom w:val="nil"/>
              <w:right w:val="nil"/>
            </w:tcBorders>
            <w:shd w:val="clear" w:color="auto" w:fill="auto"/>
            <w:hideMark/>
          </w:tcPr>
          <w:p w14:paraId="212398D6" w14:textId="77777777" w:rsidR="00F224F6" w:rsidRPr="00F224F6" w:rsidRDefault="00F224F6" w:rsidP="00F224F6">
            <w:pP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superior temporal gyrus, middle temporal gyrus, insula</w:t>
            </w:r>
          </w:p>
        </w:tc>
        <w:tc>
          <w:tcPr>
            <w:tcW w:w="657" w:type="dxa"/>
            <w:tcBorders>
              <w:top w:val="nil"/>
              <w:left w:val="nil"/>
              <w:bottom w:val="nil"/>
              <w:right w:val="nil"/>
            </w:tcBorders>
            <w:shd w:val="clear" w:color="auto" w:fill="auto"/>
            <w:noWrap/>
            <w:hideMark/>
          </w:tcPr>
          <w:p w14:paraId="6DAB0ADA"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R</w:t>
            </w:r>
          </w:p>
        </w:tc>
        <w:tc>
          <w:tcPr>
            <w:tcW w:w="982" w:type="dxa"/>
            <w:tcBorders>
              <w:top w:val="nil"/>
              <w:left w:val="nil"/>
              <w:bottom w:val="nil"/>
              <w:right w:val="nil"/>
            </w:tcBorders>
            <w:shd w:val="clear" w:color="auto" w:fill="auto"/>
            <w:noWrap/>
            <w:hideMark/>
          </w:tcPr>
          <w:p w14:paraId="55CC477A"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22</w:t>
            </w:r>
          </w:p>
        </w:tc>
        <w:tc>
          <w:tcPr>
            <w:tcW w:w="1243" w:type="dxa"/>
            <w:tcBorders>
              <w:top w:val="nil"/>
              <w:left w:val="nil"/>
              <w:bottom w:val="nil"/>
              <w:right w:val="nil"/>
            </w:tcBorders>
            <w:shd w:val="clear" w:color="auto" w:fill="auto"/>
            <w:noWrap/>
            <w:hideMark/>
          </w:tcPr>
          <w:p w14:paraId="18DEFDF2"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3205</w:t>
            </w:r>
          </w:p>
        </w:tc>
        <w:tc>
          <w:tcPr>
            <w:tcW w:w="606" w:type="dxa"/>
            <w:tcBorders>
              <w:top w:val="nil"/>
              <w:left w:val="nil"/>
              <w:bottom w:val="nil"/>
              <w:right w:val="nil"/>
            </w:tcBorders>
            <w:shd w:val="clear" w:color="auto" w:fill="auto"/>
            <w:noWrap/>
            <w:hideMark/>
          </w:tcPr>
          <w:p w14:paraId="3DC0F299"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37</w:t>
            </w:r>
          </w:p>
        </w:tc>
        <w:tc>
          <w:tcPr>
            <w:tcW w:w="567" w:type="dxa"/>
            <w:tcBorders>
              <w:top w:val="nil"/>
              <w:left w:val="nil"/>
              <w:bottom w:val="nil"/>
              <w:right w:val="nil"/>
            </w:tcBorders>
            <w:shd w:val="clear" w:color="auto" w:fill="auto"/>
            <w:noWrap/>
            <w:hideMark/>
          </w:tcPr>
          <w:p w14:paraId="2E27AE93"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1</w:t>
            </w:r>
          </w:p>
        </w:tc>
        <w:tc>
          <w:tcPr>
            <w:tcW w:w="567" w:type="dxa"/>
            <w:tcBorders>
              <w:top w:val="nil"/>
              <w:left w:val="nil"/>
              <w:bottom w:val="nil"/>
              <w:right w:val="nil"/>
            </w:tcBorders>
            <w:shd w:val="clear" w:color="auto" w:fill="auto"/>
            <w:noWrap/>
            <w:hideMark/>
          </w:tcPr>
          <w:p w14:paraId="436112D2"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-12</w:t>
            </w:r>
          </w:p>
        </w:tc>
        <w:tc>
          <w:tcPr>
            <w:tcW w:w="851" w:type="dxa"/>
            <w:tcBorders>
              <w:top w:val="nil"/>
              <w:left w:val="nil"/>
              <w:bottom w:val="nil"/>
              <w:right w:val="nil"/>
            </w:tcBorders>
            <w:shd w:val="clear" w:color="auto" w:fill="auto"/>
            <w:noWrap/>
            <w:hideMark/>
          </w:tcPr>
          <w:p w14:paraId="7E1BDED2"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-4.55</w:t>
            </w:r>
          </w:p>
        </w:tc>
        <w:tc>
          <w:tcPr>
            <w:tcW w:w="1275" w:type="dxa"/>
            <w:tcBorders>
              <w:top w:val="nil"/>
              <w:left w:val="nil"/>
              <w:bottom w:val="nil"/>
              <w:right w:val="nil"/>
            </w:tcBorders>
            <w:shd w:val="clear" w:color="auto" w:fill="auto"/>
            <w:noWrap/>
            <w:hideMark/>
          </w:tcPr>
          <w:p w14:paraId="0E402B02"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3.15 x 10</w:t>
            </w:r>
            <w:r w:rsidRPr="00F224F6">
              <w:rPr>
                <w:rFonts w:ascii="Arial" w:eastAsia="Times New Roman" w:hAnsi="Arial" w:cs="Arial"/>
                <w:color w:val="000000"/>
                <w:sz w:val="22"/>
                <w:szCs w:val="22"/>
                <w:vertAlign w:val="superscript"/>
                <w:lang w:val="en-GB"/>
              </w:rPr>
              <w:t>-2</w:t>
            </w:r>
          </w:p>
        </w:tc>
      </w:tr>
      <w:tr w:rsidR="00F224F6" w:rsidRPr="00F224F6" w14:paraId="537D399F" w14:textId="77777777" w:rsidTr="00F224F6">
        <w:trPr>
          <w:trHeight w:val="260"/>
        </w:trPr>
        <w:tc>
          <w:tcPr>
            <w:tcW w:w="1244" w:type="dxa"/>
            <w:tcBorders>
              <w:top w:val="nil"/>
              <w:left w:val="nil"/>
              <w:bottom w:val="nil"/>
              <w:right w:val="nil"/>
            </w:tcBorders>
            <w:shd w:val="clear" w:color="auto" w:fill="auto"/>
            <w:noWrap/>
            <w:hideMark/>
          </w:tcPr>
          <w:p w14:paraId="02A6574A" w14:textId="77777777" w:rsidR="00F224F6" w:rsidRPr="00F224F6" w:rsidRDefault="00F224F6" w:rsidP="00F224F6">
            <w:pPr>
              <w:rPr>
                <w:rFonts w:ascii="Arial" w:eastAsia="Times New Roman" w:hAnsi="Arial" w:cs="Arial"/>
                <w:color w:val="000000"/>
                <w:sz w:val="22"/>
                <w:szCs w:val="22"/>
                <w:lang w:val="en-GB"/>
              </w:rPr>
            </w:pPr>
          </w:p>
        </w:tc>
        <w:tc>
          <w:tcPr>
            <w:tcW w:w="913" w:type="dxa"/>
            <w:tcBorders>
              <w:top w:val="nil"/>
              <w:left w:val="nil"/>
              <w:bottom w:val="nil"/>
              <w:right w:val="nil"/>
            </w:tcBorders>
            <w:shd w:val="clear" w:color="auto" w:fill="auto"/>
            <w:noWrap/>
            <w:hideMark/>
          </w:tcPr>
          <w:p w14:paraId="426F69B4" w14:textId="77777777" w:rsidR="00F224F6" w:rsidRPr="00F224F6" w:rsidRDefault="00F224F6" w:rsidP="00F224F6">
            <w:pPr>
              <w:jc w:val="center"/>
              <w:rPr>
                <w:rFonts w:ascii="Arial" w:eastAsia="Times New Roman" w:hAnsi="Arial" w:cs="Arial"/>
                <w:color w:val="000000"/>
                <w:sz w:val="22"/>
                <w:szCs w:val="22"/>
                <w:lang w:val="en-GB"/>
              </w:rPr>
            </w:pPr>
          </w:p>
        </w:tc>
        <w:tc>
          <w:tcPr>
            <w:tcW w:w="3584" w:type="dxa"/>
            <w:tcBorders>
              <w:top w:val="nil"/>
              <w:left w:val="nil"/>
              <w:bottom w:val="nil"/>
              <w:right w:val="nil"/>
            </w:tcBorders>
            <w:shd w:val="clear" w:color="auto" w:fill="auto"/>
            <w:hideMark/>
          </w:tcPr>
          <w:p w14:paraId="47370498" w14:textId="77777777" w:rsidR="00F224F6" w:rsidRPr="00F224F6" w:rsidRDefault="00F224F6" w:rsidP="00F224F6">
            <w:pPr>
              <w:rPr>
                <w:rFonts w:ascii="Arial" w:eastAsia="Times New Roman" w:hAnsi="Arial" w:cs="Arial"/>
                <w:color w:val="000000"/>
                <w:sz w:val="22"/>
                <w:szCs w:val="22"/>
                <w:lang w:val="en-GB"/>
              </w:rPr>
            </w:pPr>
          </w:p>
        </w:tc>
        <w:tc>
          <w:tcPr>
            <w:tcW w:w="657" w:type="dxa"/>
            <w:tcBorders>
              <w:top w:val="nil"/>
              <w:left w:val="nil"/>
              <w:bottom w:val="nil"/>
              <w:right w:val="nil"/>
            </w:tcBorders>
            <w:shd w:val="clear" w:color="auto" w:fill="auto"/>
            <w:noWrap/>
            <w:hideMark/>
          </w:tcPr>
          <w:p w14:paraId="24B822C6" w14:textId="77777777" w:rsidR="00F224F6" w:rsidRPr="00F224F6" w:rsidRDefault="00F224F6" w:rsidP="00F224F6">
            <w:pPr>
              <w:jc w:val="center"/>
              <w:rPr>
                <w:rFonts w:ascii="Arial" w:eastAsia="Times New Roman" w:hAnsi="Arial" w:cs="Arial"/>
                <w:color w:val="000000"/>
                <w:sz w:val="22"/>
                <w:szCs w:val="22"/>
                <w:lang w:val="en-GB"/>
              </w:rPr>
            </w:pPr>
          </w:p>
        </w:tc>
        <w:tc>
          <w:tcPr>
            <w:tcW w:w="982" w:type="dxa"/>
            <w:tcBorders>
              <w:top w:val="nil"/>
              <w:left w:val="nil"/>
              <w:bottom w:val="nil"/>
              <w:right w:val="nil"/>
            </w:tcBorders>
            <w:shd w:val="clear" w:color="auto" w:fill="auto"/>
            <w:noWrap/>
            <w:hideMark/>
          </w:tcPr>
          <w:p w14:paraId="471ABA74" w14:textId="77777777" w:rsidR="00F224F6" w:rsidRPr="00F224F6" w:rsidRDefault="00F224F6" w:rsidP="00F224F6">
            <w:pPr>
              <w:jc w:val="center"/>
              <w:rPr>
                <w:rFonts w:ascii="Arial" w:eastAsia="Times New Roman" w:hAnsi="Arial" w:cs="Arial"/>
                <w:color w:val="000000"/>
                <w:sz w:val="22"/>
                <w:szCs w:val="22"/>
                <w:lang w:val="en-GB"/>
              </w:rPr>
            </w:pPr>
          </w:p>
        </w:tc>
        <w:tc>
          <w:tcPr>
            <w:tcW w:w="1243" w:type="dxa"/>
            <w:tcBorders>
              <w:top w:val="nil"/>
              <w:left w:val="nil"/>
              <w:bottom w:val="nil"/>
              <w:right w:val="nil"/>
            </w:tcBorders>
            <w:shd w:val="clear" w:color="auto" w:fill="auto"/>
            <w:noWrap/>
            <w:hideMark/>
          </w:tcPr>
          <w:p w14:paraId="676FDAA4" w14:textId="77777777" w:rsidR="00F224F6" w:rsidRPr="00F224F6" w:rsidRDefault="00F224F6" w:rsidP="00F224F6">
            <w:pPr>
              <w:jc w:val="center"/>
              <w:rPr>
                <w:rFonts w:ascii="Arial" w:eastAsia="Times New Roman" w:hAnsi="Arial" w:cs="Arial"/>
                <w:color w:val="000000"/>
                <w:sz w:val="22"/>
                <w:szCs w:val="22"/>
                <w:lang w:val="en-GB"/>
              </w:rPr>
            </w:pPr>
          </w:p>
        </w:tc>
        <w:tc>
          <w:tcPr>
            <w:tcW w:w="606" w:type="dxa"/>
            <w:tcBorders>
              <w:top w:val="nil"/>
              <w:left w:val="nil"/>
              <w:bottom w:val="nil"/>
              <w:right w:val="nil"/>
            </w:tcBorders>
            <w:shd w:val="clear" w:color="auto" w:fill="auto"/>
            <w:noWrap/>
            <w:hideMark/>
          </w:tcPr>
          <w:p w14:paraId="4923B200" w14:textId="77777777" w:rsidR="00F224F6" w:rsidRPr="00F224F6" w:rsidRDefault="00F224F6" w:rsidP="00F224F6">
            <w:pPr>
              <w:jc w:val="center"/>
              <w:rPr>
                <w:rFonts w:ascii="Arial" w:eastAsia="Times New Roman" w:hAnsi="Arial" w:cs="Arial"/>
                <w:color w:val="000000"/>
                <w:sz w:val="22"/>
                <w:szCs w:val="22"/>
                <w:lang w:val="en-GB"/>
              </w:rPr>
            </w:pPr>
          </w:p>
        </w:tc>
        <w:tc>
          <w:tcPr>
            <w:tcW w:w="567" w:type="dxa"/>
            <w:tcBorders>
              <w:top w:val="nil"/>
              <w:left w:val="nil"/>
              <w:bottom w:val="nil"/>
              <w:right w:val="nil"/>
            </w:tcBorders>
            <w:shd w:val="clear" w:color="auto" w:fill="auto"/>
            <w:noWrap/>
            <w:hideMark/>
          </w:tcPr>
          <w:p w14:paraId="79707D78" w14:textId="77777777" w:rsidR="00F224F6" w:rsidRPr="00F224F6" w:rsidRDefault="00F224F6" w:rsidP="00F224F6">
            <w:pPr>
              <w:jc w:val="center"/>
              <w:rPr>
                <w:rFonts w:ascii="Arial" w:eastAsia="Times New Roman" w:hAnsi="Arial" w:cs="Arial"/>
                <w:color w:val="000000"/>
                <w:sz w:val="22"/>
                <w:szCs w:val="22"/>
                <w:lang w:val="en-GB"/>
              </w:rPr>
            </w:pPr>
          </w:p>
        </w:tc>
        <w:tc>
          <w:tcPr>
            <w:tcW w:w="567" w:type="dxa"/>
            <w:tcBorders>
              <w:top w:val="nil"/>
              <w:left w:val="nil"/>
              <w:bottom w:val="nil"/>
              <w:right w:val="nil"/>
            </w:tcBorders>
            <w:shd w:val="clear" w:color="auto" w:fill="auto"/>
            <w:noWrap/>
            <w:hideMark/>
          </w:tcPr>
          <w:p w14:paraId="6B8A4BC5" w14:textId="77777777" w:rsidR="00F224F6" w:rsidRPr="00F224F6" w:rsidRDefault="00F224F6" w:rsidP="00F224F6">
            <w:pPr>
              <w:jc w:val="center"/>
              <w:rPr>
                <w:rFonts w:ascii="Arial" w:eastAsia="Times New Roman" w:hAnsi="Arial" w:cs="Arial"/>
                <w:color w:val="000000"/>
                <w:sz w:val="22"/>
                <w:szCs w:val="22"/>
                <w:lang w:val="en-GB"/>
              </w:rPr>
            </w:pPr>
          </w:p>
        </w:tc>
        <w:tc>
          <w:tcPr>
            <w:tcW w:w="851" w:type="dxa"/>
            <w:tcBorders>
              <w:top w:val="nil"/>
              <w:left w:val="nil"/>
              <w:bottom w:val="nil"/>
              <w:right w:val="nil"/>
            </w:tcBorders>
            <w:shd w:val="clear" w:color="auto" w:fill="auto"/>
            <w:noWrap/>
            <w:hideMark/>
          </w:tcPr>
          <w:p w14:paraId="3389A30D" w14:textId="77777777" w:rsidR="00F224F6" w:rsidRPr="00F224F6" w:rsidRDefault="00F224F6" w:rsidP="00F224F6">
            <w:pPr>
              <w:jc w:val="center"/>
              <w:rPr>
                <w:rFonts w:ascii="Arial" w:eastAsia="Times New Roman" w:hAnsi="Arial" w:cs="Arial"/>
                <w:color w:val="000000"/>
                <w:sz w:val="22"/>
                <w:szCs w:val="22"/>
                <w:lang w:val="en-GB"/>
              </w:rPr>
            </w:pPr>
          </w:p>
        </w:tc>
        <w:tc>
          <w:tcPr>
            <w:tcW w:w="1275" w:type="dxa"/>
            <w:tcBorders>
              <w:top w:val="nil"/>
              <w:left w:val="nil"/>
              <w:bottom w:val="nil"/>
              <w:right w:val="nil"/>
            </w:tcBorders>
            <w:shd w:val="clear" w:color="auto" w:fill="auto"/>
            <w:noWrap/>
            <w:hideMark/>
          </w:tcPr>
          <w:p w14:paraId="42410583" w14:textId="77777777" w:rsidR="00F224F6" w:rsidRPr="00F224F6" w:rsidRDefault="00F224F6" w:rsidP="00F224F6">
            <w:pPr>
              <w:jc w:val="center"/>
              <w:rPr>
                <w:rFonts w:ascii="Arial" w:eastAsia="Times New Roman" w:hAnsi="Arial" w:cs="Arial"/>
                <w:color w:val="000000"/>
                <w:sz w:val="22"/>
                <w:szCs w:val="22"/>
                <w:lang w:val="en-GB"/>
              </w:rPr>
            </w:pPr>
          </w:p>
        </w:tc>
      </w:tr>
      <w:tr w:rsidR="00F224F6" w:rsidRPr="00F224F6" w14:paraId="74268B21" w14:textId="77777777" w:rsidTr="00F224F6">
        <w:trPr>
          <w:trHeight w:val="1040"/>
        </w:trPr>
        <w:tc>
          <w:tcPr>
            <w:tcW w:w="1244" w:type="dxa"/>
            <w:tcBorders>
              <w:top w:val="nil"/>
              <w:left w:val="nil"/>
              <w:bottom w:val="nil"/>
              <w:right w:val="nil"/>
            </w:tcBorders>
            <w:shd w:val="clear" w:color="auto" w:fill="auto"/>
            <w:noWrap/>
            <w:hideMark/>
          </w:tcPr>
          <w:p w14:paraId="06186A19" w14:textId="77777777" w:rsidR="00F224F6" w:rsidRPr="00F224F6" w:rsidRDefault="00F224F6" w:rsidP="00F224F6">
            <w:pP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SA</w:t>
            </w:r>
          </w:p>
        </w:tc>
        <w:tc>
          <w:tcPr>
            <w:tcW w:w="913" w:type="dxa"/>
            <w:tcBorders>
              <w:top w:val="nil"/>
              <w:left w:val="nil"/>
              <w:bottom w:val="nil"/>
              <w:right w:val="nil"/>
            </w:tcBorders>
            <w:shd w:val="clear" w:color="auto" w:fill="auto"/>
            <w:noWrap/>
            <w:hideMark/>
          </w:tcPr>
          <w:p w14:paraId="71AAF2AF"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1</w:t>
            </w:r>
          </w:p>
        </w:tc>
        <w:tc>
          <w:tcPr>
            <w:tcW w:w="3584" w:type="dxa"/>
            <w:tcBorders>
              <w:top w:val="nil"/>
              <w:left w:val="nil"/>
              <w:bottom w:val="nil"/>
              <w:right w:val="nil"/>
            </w:tcBorders>
            <w:shd w:val="clear" w:color="auto" w:fill="auto"/>
            <w:vAlign w:val="center"/>
            <w:hideMark/>
          </w:tcPr>
          <w:p w14:paraId="462D06DB" w14:textId="77777777" w:rsidR="00F224F6" w:rsidRPr="00F224F6" w:rsidRDefault="00F224F6" w:rsidP="00F224F6">
            <w:pP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banks superior temporal sulcus, inferior parietal cortex, middle temporal gyrus, superior temporal gyrus</w:t>
            </w:r>
          </w:p>
        </w:tc>
        <w:tc>
          <w:tcPr>
            <w:tcW w:w="657" w:type="dxa"/>
            <w:tcBorders>
              <w:top w:val="nil"/>
              <w:left w:val="nil"/>
              <w:bottom w:val="nil"/>
              <w:right w:val="nil"/>
            </w:tcBorders>
            <w:shd w:val="clear" w:color="auto" w:fill="auto"/>
            <w:noWrap/>
            <w:hideMark/>
          </w:tcPr>
          <w:p w14:paraId="486CCCF6"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L</w:t>
            </w:r>
          </w:p>
        </w:tc>
        <w:tc>
          <w:tcPr>
            <w:tcW w:w="982" w:type="dxa"/>
            <w:tcBorders>
              <w:top w:val="nil"/>
              <w:left w:val="nil"/>
              <w:bottom w:val="nil"/>
              <w:right w:val="nil"/>
            </w:tcBorders>
            <w:shd w:val="clear" w:color="auto" w:fill="auto"/>
            <w:noWrap/>
            <w:hideMark/>
          </w:tcPr>
          <w:p w14:paraId="10FFC533"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21/22</w:t>
            </w:r>
          </w:p>
        </w:tc>
        <w:tc>
          <w:tcPr>
            <w:tcW w:w="1243" w:type="dxa"/>
            <w:tcBorders>
              <w:top w:val="nil"/>
              <w:left w:val="nil"/>
              <w:bottom w:val="nil"/>
              <w:right w:val="nil"/>
            </w:tcBorders>
            <w:shd w:val="clear" w:color="auto" w:fill="auto"/>
            <w:noWrap/>
            <w:hideMark/>
          </w:tcPr>
          <w:p w14:paraId="3F3CE21C"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5647</w:t>
            </w:r>
          </w:p>
        </w:tc>
        <w:tc>
          <w:tcPr>
            <w:tcW w:w="606" w:type="dxa"/>
            <w:tcBorders>
              <w:top w:val="nil"/>
              <w:left w:val="nil"/>
              <w:bottom w:val="nil"/>
              <w:right w:val="nil"/>
            </w:tcBorders>
            <w:shd w:val="clear" w:color="auto" w:fill="auto"/>
            <w:noWrap/>
            <w:hideMark/>
          </w:tcPr>
          <w:p w14:paraId="1DBB28EF"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-43</w:t>
            </w:r>
          </w:p>
        </w:tc>
        <w:tc>
          <w:tcPr>
            <w:tcW w:w="567" w:type="dxa"/>
            <w:tcBorders>
              <w:top w:val="nil"/>
              <w:left w:val="nil"/>
              <w:bottom w:val="nil"/>
              <w:right w:val="nil"/>
            </w:tcBorders>
            <w:shd w:val="clear" w:color="auto" w:fill="auto"/>
            <w:noWrap/>
            <w:hideMark/>
          </w:tcPr>
          <w:p w14:paraId="301E2DB8"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-49</w:t>
            </w:r>
          </w:p>
        </w:tc>
        <w:tc>
          <w:tcPr>
            <w:tcW w:w="567" w:type="dxa"/>
            <w:tcBorders>
              <w:top w:val="nil"/>
              <w:left w:val="nil"/>
              <w:bottom w:val="nil"/>
              <w:right w:val="nil"/>
            </w:tcBorders>
            <w:shd w:val="clear" w:color="auto" w:fill="auto"/>
            <w:noWrap/>
            <w:hideMark/>
          </w:tcPr>
          <w:p w14:paraId="10CCBDF8"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20</w:t>
            </w:r>
          </w:p>
        </w:tc>
        <w:tc>
          <w:tcPr>
            <w:tcW w:w="851" w:type="dxa"/>
            <w:tcBorders>
              <w:top w:val="nil"/>
              <w:left w:val="nil"/>
              <w:bottom w:val="nil"/>
              <w:right w:val="nil"/>
            </w:tcBorders>
            <w:shd w:val="clear" w:color="auto" w:fill="auto"/>
            <w:noWrap/>
            <w:hideMark/>
          </w:tcPr>
          <w:p w14:paraId="19A08992"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-3.69</w:t>
            </w:r>
          </w:p>
        </w:tc>
        <w:tc>
          <w:tcPr>
            <w:tcW w:w="1275" w:type="dxa"/>
            <w:tcBorders>
              <w:top w:val="nil"/>
              <w:left w:val="nil"/>
              <w:bottom w:val="nil"/>
              <w:right w:val="nil"/>
            </w:tcBorders>
            <w:shd w:val="clear" w:color="auto" w:fill="auto"/>
            <w:noWrap/>
            <w:hideMark/>
          </w:tcPr>
          <w:p w14:paraId="3ECA5B8A"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2.01 x 10</w:t>
            </w:r>
            <w:r w:rsidRPr="00F224F6">
              <w:rPr>
                <w:rFonts w:ascii="Arial" w:eastAsia="Times New Roman" w:hAnsi="Arial" w:cs="Arial"/>
                <w:color w:val="000000"/>
                <w:sz w:val="22"/>
                <w:szCs w:val="22"/>
                <w:vertAlign w:val="superscript"/>
                <w:lang w:val="en-GB"/>
              </w:rPr>
              <w:t>-2</w:t>
            </w:r>
          </w:p>
        </w:tc>
      </w:tr>
      <w:tr w:rsidR="00F224F6" w:rsidRPr="00F224F6" w14:paraId="2DA1194F" w14:textId="77777777" w:rsidTr="00F224F6">
        <w:trPr>
          <w:trHeight w:val="1040"/>
        </w:trPr>
        <w:tc>
          <w:tcPr>
            <w:tcW w:w="1244" w:type="dxa"/>
            <w:tcBorders>
              <w:top w:val="nil"/>
              <w:left w:val="nil"/>
              <w:bottom w:val="nil"/>
              <w:right w:val="nil"/>
            </w:tcBorders>
            <w:shd w:val="clear" w:color="auto" w:fill="auto"/>
            <w:noWrap/>
            <w:hideMark/>
          </w:tcPr>
          <w:p w14:paraId="05B47491" w14:textId="77777777" w:rsidR="00F224F6" w:rsidRPr="00F224F6" w:rsidRDefault="00F224F6" w:rsidP="00F224F6">
            <w:pPr>
              <w:rPr>
                <w:rFonts w:ascii="Arial" w:eastAsia="Times New Roman" w:hAnsi="Arial" w:cs="Arial"/>
                <w:color w:val="000000"/>
                <w:sz w:val="22"/>
                <w:szCs w:val="22"/>
                <w:lang w:val="en-GB"/>
              </w:rPr>
            </w:pPr>
          </w:p>
        </w:tc>
        <w:tc>
          <w:tcPr>
            <w:tcW w:w="913" w:type="dxa"/>
            <w:tcBorders>
              <w:top w:val="nil"/>
              <w:left w:val="nil"/>
              <w:bottom w:val="nil"/>
              <w:right w:val="nil"/>
            </w:tcBorders>
            <w:shd w:val="clear" w:color="auto" w:fill="auto"/>
            <w:noWrap/>
            <w:hideMark/>
          </w:tcPr>
          <w:p w14:paraId="76E890A6"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2</w:t>
            </w:r>
          </w:p>
        </w:tc>
        <w:tc>
          <w:tcPr>
            <w:tcW w:w="3584" w:type="dxa"/>
            <w:tcBorders>
              <w:top w:val="nil"/>
              <w:left w:val="nil"/>
              <w:bottom w:val="nil"/>
              <w:right w:val="nil"/>
            </w:tcBorders>
            <w:shd w:val="clear" w:color="auto" w:fill="auto"/>
            <w:vAlign w:val="center"/>
            <w:hideMark/>
          </w:tcPr>
          <w:p w14:paraId="5302366D" w14:textId="77777777" w:rsidR="00F224F6" w:rsidRPr="00F224F6" w:rsidRDefault="00F224F6" w:rsidP="00F224F6">
            <w:pP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callosomarginal sulcus/cingulate sulcus, superior frontal gyrus, paracentral lobule</w:t>
            </w:r>
          </w:p>
        </w:tc>
        <w:tc>
          <w:tcPr>
            <w:tcW w:w="657" w:type="dxa"/>
            <w:tcBorders>
              <w:top w:val="nil"/>
              <w:left w:val="nil"/>
              <w:bottom w:val="nil"/>
              <w:right w:val="nil"/>
            </w:tcBorders>
            <w:shd w:val="clear" w:color="auto" w:fill="auto"/>
            <w:noWrap/>
            <w:hideMark/>
          </w:tcPr>
          <w:p w14:paraId="16EED2D6"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L</w:t>
            </w:r>
          </w:p>
        </w:tc>
        <w:tc>
          <w:tcPr>
            <w:tcW w:w="982" w:type="dxa"/>
            <w:tcBorders>
              <w:top w:val="nil"/>
              <w:left w:val="nil"/>
              <w:bottom w:val="nil"/>
              <w:right w:val="nil"/>
            </w:tcBorders>
            <w:shd w:val="clear" w:color="auto" w:fill="auto"/>
            <w:noWrap/>
            <w:hideMark/>
          </w:tcPr>
          <w:p w14:paraId="631B0A0C"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32</w:t>
            </w:r>
          </w:p>
        </w:tc>
        <w:tc>
          <w:tcPr>
            <w:tcW w:w="1243" w:type="dxa"/>
            <w:tcBorders>
              <w:top w:val="nil"/>
              <w:left w:val="nil"/>
              <w:bottom w:val="nil"/>
              <w:right w:val="nil"/>
            </w:tcBorders>
            <w:shd w:val="clear" w:color="auto" w:fill="auto"/>
            <w:noWrap/>
            <w:hideMark/>
          </w:tcPr>
          <w:p w14:paraId="1F5D51F1"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4510</w:t>
            </w:r>
          </w:p>
        </w:tc>
        <w:tc>
          <w:tcPr>
            <w:tcW w:w="606" w:type="dxa"/>
            <w:tcBorders>
              <w:top w:val="nil"/>
              <w:left w:val="nil"/>
              <w:bottom w:val="nil"/>
              <w:right w:val="nil"/>
            </w:tcBorders>
            <w:shd w:val="clear" w:color="auto" w:fill="auto"/>
            <w:noWrap/>
            <w:hideMark/>
          </w:tcPr>
          <w:p w14:paraId="5A1D4D63"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-10</w:t>
            </w:r>
          </w:p>
        </w:tc>
        <w:tc>
          <w:tcPr>
            <w:tcW w:w="567" w:type="dxa"/>
            <w:tcBorders>
              <w:top w:val="nil"/>
              <w:left w:val="nil"/>
              <w:bottom w:val="nil"/>
              <w:right w:val="nil"/>
            </w:tcBorders>
            <w:shd w:val="clear" w:color="auto" w:fill="auto"/>
            <w:noWrap/>
            <w:hideMark/>
          </w:tcPr>
          <w:p w14:paraId="312EA9B4"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19</w:t>
            </w:r>
          </w:p>
        </w:tc>
        <w:tc>
          <w:tcPr>
            <w:tcW w:w="567" w:type="dxa"/>
            <w:tcBorders>
              <w:top w:val="nil"/>
              <w:left w:val="nil"/>
              <w:bottom w:val="nil"/>
              <w:right w:val="nil"/>
            </w:tcBorders>
            <w:shd w:val="clear" w:color="auto" w:fill="auto"/>
            <w:noWrap/>
            <w:hideMark/>
          </w:tcPr>
          <w:p w14:paraId="663136F4"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39</w:t>
            </w:r>
          </w:p>
        </w:tc>
        <w:tc>
          <w:tcPr>
            <w:tcW w:w="851" w:type="dxa"/>
            <w:tcBorders>
              <w:top w:val="nil"/>
              <w:left w:val="nil"/>
              <w:bottom w:val="nil"/>
              <w:right w:val="nil"/>
            </w:tcBorders>
            <w:shd w:val="clear" w:color="auto" w:fill="auto"/>
            <w:noWrap/>
            <w:hideMark/>
          </w:tcPr>
          <w:p w14:paraId="0916234F"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-3.99</w:t>
            </w:r>
          </w:p>
        </w:tc>
        <w:tc>
          <w:tcPr>
            <w:tcW w:w="1275" w:type="dxa"/>
            <w:tcBorders>
              <w:top w:val="nil"/>
              <w:left w:val="nil"/>
              <w:bottom w:val="nil"/>
              <w:right w:val="nil"/>
            </w:tcBorders>
            <w:shd w:val="clear" w:color="auto" w:fill="auto"/>
            <w:noWrap/>
            <w:hideMark/>
          </w:tcPr>
          <w:p w14:paraId="31553A0F"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3.15 x 10</w:t>
            </w:r>
            <w:r w:rsidRPr="00F224F6">
              <w:rPr>
                <w:rFonts w:ascii="Arial" w:eastAsia="Times New Roman" w:hAnsi="Arial" w:cs="Arial"/>
                <w:color w:val="000000"/>
                <w:sz w:val="22"/>
                <w:szCs w:val="22"/>
                <w:vertAlign w:val="superscript"/>
                <w:lang w:val="en-GB"/>
              </w:rPr>
              <w:t>-2</w:t>
            </w:r>
          </w:p>
        </w:tc>
      </w:tr>
      <w:tr w:rsidR="00F224F6" w:rsidRPr="00F224F6" w14:paraId="4F76EA57" w14:textId="77777777" w:rsidTr="00F224F6">
        <w:trPr>
          <w:trHeight w:val="780"/>
        </w:trPr>
        <w:tc>
          <w:tcPr>
            <w:tcW w:w="1244" w:type="dxa"/>
            <w:tcBorders>
              <w:top w:val="nil"/>
              <w:left w:val="nil"/>
              <w:bottom w:val="nil"/>
              <w:right w:val="nil"/>
            </w:tcBorders>
            <w:shd w:val="clear" w:color="auto" w:fill="auto"/>
            <w:noWrap/>
            <w:hideMark/>
          </w:tcPr>
          <w:p w14:paraId="1854A698" w14:textId="77777777" w:rsidR="00F224F6" w:rsidRPr="00F224F6" w:rsidRDefault="00F224F6" w:rsidP="00F224F6">
            <w:pPr>
              <w:rPr>
                <w:rFonts w:ascii="Arial" w:eastAsia="Times New Roman" w:hAnsi="Arial" w:cs="Arial"/>
                <w:color w:val="000000"/>
                <w:sz w:val="22"/>
                <w:szCs w:val="22"/>
                <w:lang w:val="en-GB"/>
              </w:rPr>
            </w:pPr>
          </w:p>
        </w:tc>
        <w:tc>
          <w:tcPr>
            <w:tcW w:w="913" w:type="dxa"/>
            <w:tcBorders>
              <w:top w:val="nil"/>
              <w:left w:val="nil"/>
              <w:bottom w:val="nil"/>
              <w:right w:val="nil"/>
            </w:tcBorders>
            <w:shd w:val="clear" w:color="auto" w:fill="auto"/>
            <w:noWrap/>
            <w:hideMark/>
          </w:tcPr>
          <w:p w14:paraId="0287E638"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3</w:t>
            </w:r>
          </w:p>
        </w:tc>
        <w:tc>
          <w:tcPr>
            <w:tcW w:w="3584" w:type="dxa"/>
            <w:tcBorders>
              <w:top w:val="nil"/>
              <w:left w:val="nil"/>
              <w:bottom w:val="nil"/>
              <w:right w:val="nil"/>
            </w:tcBorders>
            <w:shd w:val="clear" w:color="auto" w:fill="auto"/>
            <w:vAlign w:val="center"/>
            <w:hideMark/>
          </w:tcPr>
          <w:p w14:paraId="3297B362" w14:textId="77777777" w:rsidR="00F224F6" w:rsidRPr="00F224F6" w:rsidRDefault="00F224F6" w:rsidP="00F224F6">
            <w:pP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lateral orbital frontal cortex, pars orbitalis, pars triangularis, rostral middle frontal gyrus</w:t>
            </w:r>
          </w:p>
        </w:tc>
        <w:tc>
          <w:tcPr>
            <w:tcW w:w="657" w:type="dxa"/>
            <w:tcBorders>
              <w:top w:val="nil"/>
              <w:left w:val="nil"/>
              <w:bottom w:val="nil"/>
              <w:right w:val="nil"/>
            </w:tcBorders>
            <w:shd w:val="clear" w:color="auto" w:fill="auto"/>
            <w:noWrap/>
            <w:hideMark/>
          </w:tcPr>
          <w:p w14:paraId="00C9838F"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R</w:t>
            </w:r>
          </w:p>
        </w:tc>
        <w:tc>
          <w:tcPr>
            <w:tcW w:w="982" w:type="dxa"/>
            <w:tcBorders>
              <w:top w:val="nil"/>
              <w:left w:val="nil"/>
              <w:bottom w:val="nil"/>
              <w:right w:val="nil"/>
            </w:tcBorders>
            <w:shd w:val="clear" w:color="auto" w:fill="auto"/>
            <w:noWrap/>
            <w:hideMark/>
          </w:tcPr>
          <w:p w14:paraId="4DC8BDF8"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47</w:t>
            </w:r>
          </w:p>
        </w:tc>
        <w:tc>
          <w:tcPr>
            <w:tcW w:w="1243" w:type="dxa"/>
            <w:tcBorders>
              <w:top w:val="nil"/>
              <w:left w:val="nil"/>
              <w:bottom w:val="nil"/>
              <w:right w:val="nil"/>
            </w:tcBorders>
            <w:shd w:val="clear" w:color="auto" w:fill="auto"/>
            <w:noWrap/>
            <w:hideMark/>
          </w:tcPr>
          <w:p w14:paraId="292CB5B4"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4689</w:t>
            </w:r>
          </w:p>
        </w:tc>
        <w:tc>
          <w:tcPr>
            <w:tcW w:w="606" w:type="dxa"/>
            <w:tcBorders>
              <w:top w:val="nil"/>
              <w:left w:val="nil"/>
              <w:bottom w:val="nil"/>
              <w:right w:val="nil"/>
            </w:tcBorders>
            <w:shd w:val="clear" w:color="auto" w:fill="auto"/>
            <w:noWrap/>
            <w:hideMark/>
          </w:tcPr>
          <w:p w14:paraId="33437AD4"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46</w:t>
            </w:r>
          </w:p>
        </w:tc>
        <w:tc>
          <w:tcPr>
            <w:tcW w:w="567" w:type="dxa"/>
            <w:tcBorders>
              <w:top w:val="nil"/>
              <w:left w:val="nil"/>
              <w:bottom w:val="nil"/>
              <w:right w:val="nil"/>
            </w:tcBorders>
            <w:shd w:val="clear" w:color="auto" w:fill="auto"/>
            <w:noWrap/>
            <w:hideMark/>
          </w:tcPr>
          <w:p w14:paraId="3ECBF8F3"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31</w:t>
            </w:r>
          </w:p>
        </w:tc>
        <w:tc>
          <w:tcPr>
            <w:tcW w:w="567" w:type="dxa"/>
            <w:tcBorders>
              <w:top w:val="nil"/>
              <w:left w:val="nil"/>
              <w:bottom w:val="nil"/>
              <w:right w:val="nil"/>
            </w:tcBorders>
            <w:shd w:val="clear" w:color="auto" w:fill="auto"/>
            <w:noWrap/>
            <w:hideMark/>
          </w:tcPr>
          <w:p w14:paraId="321A4544"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-7</w:t>
            </w:r>
          </w:p>
        </w:tc>
        <w:tc>
          <w:tcPr>
            <w:tcW w:w="851" w:type="dxa"/>
            <w:tcBorders>
              <w:top w:val="nil"/>
              <w:left w:val="nil"/>
              <w:bottom w:val="nil"/>
              <w:right w:val="nil"/>
            </w:tcBorders>
            <w:shd w:val="clear" w:color="auto" w:fill="auto"/>
            <w:noWrap/>
            <w:hideMark/>
          </w:tcPr>
          <w:p w14:paraId="34E00404"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-3.41</w:t>
            </w:r>
          </w:p>
        </w:tc>
        <w:tc>
          <w:tcPr>
            <w:tcW w:w="1275" w:type="dxa"/>
            <w:tcBorders>
              <w:top w:val="nil"/>
              <w:left w:val="nil"/>
              <w:bottom w:val="nil"/>
              <w:right w:val="nil"/>
            </w:tcBorders>
            <w:shd w:val="clear" w:color="auto" w:fill="auto"/>
            <w:noWrap/>
            <w:hideMark/>
          </w:tcPr>
          <w:p w14:paraId="1106DDC8"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4.16 x 10</w:t>
            </w:r>
            <w:r w:rsidRPr="00F224F6">
              <w:rPr>
                <w:rFonts w:ascii="Arial" w:eastAsia="Times New Roman" w:hAnsi="Arial" w:cs="Arial"/>
                <w:color w:val="000000"/>
                <w:sz w:val="22"/>
                <w:szCs w:val="22"/>
                <w:vertAlign w:val="superscript"/>
                <w:lang w:val="en-GB"/>
              </w:rPr>
              <w:t>-2</w:t>
            </w:r>
          </w:p>
        </w:tc>
      </w:tr>
      <w:tr w:rsidR="00F224F6" w:rsidRPr="00F224F6" w14:paraId="5C46AC4E" w14:textId="77777777" w:rsidTr="00F224F6">
        <w:trPr>
          <w:trHeight w:val="260"/>
        </w:trPr>
        <w:tc>
          <w:tcPr>
            <w:tcW w:w="1244" w:type="dxa"/>
            <w:tcBorders>
              <w:top w:val="nil"/>
              <w:left w:val="nil"/>
              <w:bottom w:val="nil"/>
              <w:right w:val="nil"/>
            </w:tcBorders>
            <w:shd w:val="clear" w:color="auto" w:fill="auto"/>
            <w:noWrap/>
            <w:hideMark/>
          </w:tcPr>
          <w:p w14:paraId="2008FDA6" w14:textId="77777777" w:rsidR="00F224F6" w:rsidRPr="00F224F6" w:rsidRDefault="00F224F6" w:rsidP="00F224F6">
            <w:pPr>
              <w:rPr>
                <w:rFonts w:ascii="Arial" w:eastAsia="Times New Roman" w:hAnsi="Arial" w:cs="Arial"/>
                <w:color w:val="000000"/>
                <w:sz w:val="22"/>
                <w:szCs w:val="22"/>
                <w:lang w:val="en-GB"/>
              </w:rPr>
            </w:pPr>
          </w:p>
        </w:tc>
        <w:tc>
          <w:tcPr>
            <w:tcW w:w="913" w:type="dxa"/>
            <w:tcBorders>
              <w:top w:val="nil"/>
              <w:left w:val="nil"/>
              <w:bottom w:val="nil"/>
              <w:right w:val="nil"/>
            </w:tcBorders>
            <w:shd w:val="clear" w:color="auto" w:fill="auto"/>
            <w:noWrap/>
            <w:hideMark/>
          </w:tcPr>
          <w:p w14:paraId="13F78E51" w14:textId="77777777" w:rsidR="00F224F6" w:rsidRPr="00F224F6" w:rsidRDefault="00F224F6" w:rsidP="00F224F6">
            <w:pPr>
              <w:jc w:val="center"/>
              <w:rPr>
                <w:rFonts w:ascii="Arial" w:eastAsia="Times New Roman" w:hAnsi="Arial" w:cs="Arial"/>
                <w:color w:val="000000"/>
                <w:sz w:val="22"/>
                <w:szCs w:val="22"/>
                <w:lang w:val="en-GB"/>
              </w:rPr>
            </w:pPr>
          </w:p>
        </w:tc>
        <w:tc>
          <w:tcPr>
            <w:tcW w:w="3584" w:type="dxa"/>
            <w:tcBorders>
              <w:top w:val="nil"/>
              <w:left w:val="nil"/>
              <w:bottom w:val="nil"/>
              <w:right w:val="nil"/>
            </w:tcBorders>
            <w:shd w:val="clear" w:color="auto" w:fill="auto"/>
            <w:hideMark/>
          </w:tcPr>
          <w:p w14:paraId="1B1B7812" w14:textId="77777777" w:rsidR="00F224F6" w:rsidRPr="00F224F6" w:rsidRDefault="00F224F6" w:rsidP="00F224F6">
            <w:pPr>
              <w:rPr>
                <w:rFonts w:ascii="Arial" w:eastAsia="Times New Roman" w:hAnsi="Arial" w:cs="Arial"/>
                <w:color w:val="000000"/>
                <w:sz w:val="22"/>
                <w:szCs w:val="22"/>
                <w:lang w:val="en-GB"/>
              </w:rPr>
            </w:pPr>
          </w:p>
        </w:tc>
        <w:tc>
          <w:tcPr>
            <w:tcW w:w="657" w:type="dxa"/>
            <w:tcBorders>
              <w:top w:val="nil"/>
              <w:left w:val="nil"/>
              <w:bottom w:val="nil"/>
              <w:right w:val="nil"/>
            </w:tcBorders>
            <w:shd w:val="clear" w:color="auto" w:fill="auto"/>
            <w:noWrap/>
            <w:hideMark/>
          </w:tcPr>
          <w:p w14:paraId="07D9F853" w14:textId="77777777" w:rsidR="00F224F6" w:rsidRPr="00F224F6" w:rsidRDefault="00F224F6" w:rsidP="00F224F6">
            <w:pPr>
              <w:jc w:val="center"/>
              <w:rPr>
                <w:rFonts w:ascii="Arial" w:eastAsia="Times New Roman" w:hAnsi="Arial" w:cs="Arial"/>
                <w:color w:val="000000"/>
                <w:sz w:val="22"/>
                <w:szCs w:val="22"/>
                <w:lang w:val="en-GB"/>
              </w:rPr>
            </w:pPr>
          </w:p>
        </w:tc>
        <w:tc>
          <w:tcPr>
            <w:tcW w:w="982" w:type="dxa"/>
            <w:tcBorders>
              <w:top w:val="nil"/>
              <w:left w:val="nil"/>
              <w:bottom w:val="nil"/>
              <w:right w:val="nil"/>
            </w:tcBorders>
            <w:shd w:val="clear" w:color="auto" w:fill="auto"/>
            <w:noWrap/>
            <w:hideMark/>
          </w:tcPr>
          <w:p w14:paraId="50183AF4" w14:textId="77777777" w:rsidR="00F224F6" w:rsidRPr="00F224F6" w:rsidRDefault="00F224F6" w:rsidP="00F224F6">
            <w:pPr>
              <w:jc w:val="center"/>
              <w:rPr>
                <w:rFonts w:ascii="Arial" w:eastAsia="Times New Roman" w:hAnsi="Arial" w:cs="Arial"/>
                <w:color w:val="000000"/>
                <w:sz w:val="22"/>
                <w:szCs w:val="22"/>
                <w:lang w:val="en-GB"/>
              </w:rPr>
            </w:pPr>
          </w:p>
        </w:tc>
        <w:tc>
          <w:tcPr>
            <w:tcW w:w="1243" w:type="dxa"/>
            <w:tcBorders>
              <w:top w:val="nil"/>
              <w:left w:val="nil"/>
              <w:bottom w:val="nil"/>
              <w:right w:val="nil"/>
            </w:tcBorders>
            <w:shd w:val="clear" w:color="auto" w:fill="auto"/>
            <w:noWrap/>
            <w:hideMark/>
          </w:tcPr>
          <w:p w14:paraId="4C9A8253" w14:textId="77777777" w:rsidR="00F224F6" w:rsidRPr="00F224F6" w:rsidRDefault="00F224F6" w:rsidP="00F224F6">
            <w:pPr>
              <w:jc w:val="center"/>
              <w:rPr>
                <w:rFonts w:ascii="Arial" w:eastAsia="Times New Roman" w:hAnsi="Arial" w:cs="Arial"/>
                <w:color w:val="000000"/>
                <w:sz w:val="22"/>
                <w:szCs w:val="22"/>
                <w:lang w:val="en-GB"/>
              </w:rPr>
            </w:pPr>
          </w:p>
        </w:tc>
        <w:tc>
          <w:tcPr>
            <w:tcW w:w="606" w:type="dxa"/>
            <w:tcBorders>
              <w:top w:val="nil"/>
              <w:left w:val="nil"/>
              <w:bottom w:val="nil"/>
              <w:right w:val="nil"/>
            </w:tcBorders>
            <w:shd w:val="clear" w:color="auto" w:fill="auto"/>
            <w:noWrap/>
            <w:hideMark/>
          </w:tcPr>
          <w:p w14:paraId="5E868244" w14:textId="77777777" w:rsidR="00F224F6" w:rsidRPr="00F224F6" w:rsidRDefault="00F224F6" w:rsidP="00F224F6">
            <w:pPr>
              <w:jc w:val="center"/>
              <w:rPr>
                <w:rFonts w:ascii="Arial" w:eastAsia="Times New Roman" w:hAnsi="Arial" w:cs="Arial"/>
                <w:color w:val="000000"/>
                <w:sz w:val="22"/>
                <w:szCs w:val="22"/>
                <w:lang w:val="en-GB"/>
              </w:rPr>
            </w:pPr>
          </w:p>
        </w:tc>
        <w:tc>
          <w:tcPr>
            <w:tcW w:w="567" w:type="dxa"/>
            <w:tcBorders>
              <w:top w:val="nil"/>
              <w:left w:val="nil"/>
              <w:bottom w:val="nil"/>
              <w:right w:val="nil"/>
            </w:tcBorders>
            <w:shd w:val="clear" w:color="auto" w:fill="auto"/>
            <w:noWrap/>
            <w:hideMark/>
          </w:tcPr>
          <w:p w14:paraId="69405BEB" w14:textId="77777777" w:rsidR="00F224F6" w:rsidRPr="00F224F6" w:rsidRDefault="00F224F6" w:rsidP="00F224F6">
            <w:pPr>
              <w:jc w:val="center"/>
              <w:rPr>
                <w:rFonts w:ascii="Arial" w:eastAsia="Times New Roman" w:hAnsi="Arial" w:cs="Arial"/>
                <w:color w:val="000000"/>
                <w:sz w:val="22"/>
                <w:szCs w:val="22"/>
                <w:lang w:val="en-GB"/>
              </w:rPr>
            </w:pPr>
          </w:p>
        </w:tc>
        <w:tc>
          <w:tcPr>
            <w:tcW w:w="567" w:type="dxa"/>
            <w:tcBorders>
              <w:top w:val="nil"/>
              <w:left w:val="nil"/>
              <w:bottom w:val="nil"/>
              <w:right w:val="nil"/>
            </w:tcBorders>
            <w:shd w:val="clear" w:color="auto" w:fill="auto"/>
            <w:noWrap/>
            <w:hideMark/>
          </w:tcPr>
          <w:p w14:paraId="651331D1" w14:textId="77777777" w:rsidR="00F224F6" w:rsidRPr="00F224F6" w:rsidRDefault="00F224F6" w:rsidP="00F224F6">
            <w:pPr>
              <w:jc w:val="center"/>
              <w:rPr>
                <w:rFonts w:ascii="Arial" w:eastAsia="Times New Roman" w:hAnsi="Arial" w:cs="Arial"/>
                <w:color w:val="000000"/>
                <w:sz w:val="22"/>
                <w:szCs w:val="22"/>
                <w:lang w:val="en-GB"/>
              </w:rPr>
            </w:pPr>
          </w:p>
        </w:tc>
        <w:tc>
          <w:tcPr>
            <w:tcW w:w="851" w:type="dxa"/>
            <w:tcBorders>
              <w:top w:val="nil"/>
              <w:left w:val="nil"/>
              <w:bottom w:val="nil"/>
              <w:right w:val="nil"/>
            </w:tcBorders>
            <w:shd w:val="clear" w:color="auto" w:fill="auto"/>
            <w:noWrap/>
            <w:hideMark/>
          </w:tcPr>
          <w:p w14:paraId="2C6B0AE6" w14:textId="77777777" w:rsidR="00F224F6" w:rsidRPr="00F224F6" w:rsidRDefault="00F224F6" w:rsidP="00F224F6">
            <w:pPr>
              <w:jc w:val="center"/>
              <w:rPr>
                <w:rFonts w:ascii="Arial" w:eastAsia="Times New Roman" w:hAnsi="Arial" w:cs="Arial"/>
                <w:color w:val="000000"/>
                <w:sz w:val="22"/>
                <w:szCs w:val="22"/>
                <w:lang w:val="en-GB"/>
              </w:rPr>
            </w:pPr>
          </w:p>
        </w:tc>
        <w:tc>
          <w:tcPr>
            <w:tcW w:w="1275" w:type="dxa"/>
            <w:tcBorders>
              <w:top w:val="nil"/>
              <w:left w:val="nil"/>
              <w:bottom w:val="nil"/>
              <w:right w:val="nil"/>
            </w:tcBorders>
            <w:shd w:val="clear" w:color="auto" w:fill="auto"/>
            <w:noWrap/>
            <w:hideMark/>
          </w:tcPr>
          <w:p w14:paraId="218DE995" w14:textId="77777777" w:rsidR="00F224F6" w:rsidRPr="00F224F6" w:rsidRDefault="00F224F6" w:rsidP="00F224F6">
            <w:pPr>
              <w:jc w:val="center"/>
              <w:rPr>
                <w:rFonts w:ascii="Arial" w:eastAsia="Times New Roman" w:hAnsi="Arial" w:cs="Arial"/>
                <w:color w:val="000000"/>
                <w:sz w:val="22"/>
                <w:szCs w:val="22"/>
                <w:lang w:val="en-GB"/>
              </w:rPr>
            </w:pPr>
          </w:p>
        </w:tc>
      </w:tr>
      <w:tr w:rsidR="00F224F6" w:rsidRPr="00F224F6" w14:paraId="1C5AABA0" w14:textId="77777777" w:rsidTr="00F224F6">
        <w:trPr>
          <w:trHeight w:val="2600"/>
        </w:trPr>
        <w:tc>
          <w:tcPr>
            <w:tcW w:w="1244" w:type="dxa"/>
            <w:tcBorders>
              <w:top w:val="nil"/>
              <w:left w:val="nil"/>
              <w:bottom w:val="nil"/>
              <w:right w:val="nil"/>
            </w:tcBorders>
            <w:shd w:val="clear" w:color="auto" w:fill="auto"/>
            <w:noWrap/>
            <w:hideMark/>
          </w:tcPr>
          <w:p w14:paraId="1E4D0880" w14:textId="77777777" w:rsidR="00F224F6" w:rsidRPr="00F224F6" w:rsidRDefault="00F224F6" w:rsidP="00F224F6">
            <w:pP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CV</w:t>
            </w:r>
          </w:p>
        </w:tc>
        <w:tc>
          <w:tcPr>
            <w:tcW w:w="913" w:type="dxa"/>
            <w:tcBorders>
              <w:top w:val="nil"/>
              <w:left w:val="nil"/>
              <w:bottom w:val="nil"/>
              <w:right w:val="nil"/>
            </w:tcBorders>
            <w:shd w:val="clear" w:color="auto" w:fill="auto"/>
            <w:noWrap/>
            <w:hideMark/>
          </w:tcPr>
          <w:p w14:paraId="0C4BDA04"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1</w:t>
            </w:r>
          </w:p>
        </w:tc>
        <w:tc>
          <w:tcPr>
            <w:tcW w:w="3584" w:type="dxa"/>
            <w:tcBorders>
              <w:top w:val="nil"/>
              <w:left w:val="nil"/>
              <w:bottom w:val="nil"/>
              <w:right w:val="nil"/>
            </w:tcBorders>
            <w:shd w:val="clear" w:color="auto" w:fill="auto"/>
            <w:hideMark/>
          </w:tcPr>
          <w:p w14:paraId="54F771D1" w14:textId="77777777" w:rsidR="00F224F6" w:rsidRPr="00F224F6" w:rsidRDefault="00F224F6" w:rsidP="00F224F6">
            <w:pP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insula, frontal pole, lateral orbital frontal cortex, medial orbital frontal cortex, pars opercularis, pars orbitalis, pars triangularis, rostral anterior cingulate cortex, rostral middle frontal gyrus, superior temporal gyrus, supramarginal gyrus, temporal pole, transverse temporal cortex</w:t>
            </w:r>
          </w:p>
        </w:tc>
        <w:tc>
          <w:tcPr>
            <w:tcW w:w="657" w:type="dxa"/>
            <w:tcBorders>
              <w:top w:val="nil"/>
              <w:left w:val="nil"/>
              <w:bottom w:val="nil"/>
              <w:right w:val="nil"/>
            </w:tcBorders>
            <w:shd w:val="clear" w:color="auto" w:fill="auto"/>
            <w:noWrap/>
            <w:hideMark/>
          </w:tcPr>
          <w:p w14:paraId="33D638C4"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L</w:t>
            </w:r>
          </w:p>
        </w:tc>
        <w:tc>
          <w:tcPr>
            <w:tcW w:w="982" w:type="dxa"/>
            <w:tcBorders>
              <w:top w:val="nil"/>
              <w:left w:val="nil"/>
              <w:bottom w:val="nil"/>
              <w:right w:val="nil"/>
            </w:tcBorders>
            <w:shd w:val="clear" w:color="auto" w:fill="auto"/>
            <w:noWrap/>
            <w:hideMark/>
          </w:tcPr>
          <w:p w14:paraId="3C4C88E0"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13</w:t>
            </w:r>
          </w:p>
        </w:tc>
        <w:tc>
          <w:tcPr>
            <w:tcW w:w="1243" w:type="dxa"/>
            <w:tcBorders>
              <w:top w:val="nil"/>
              <w:left w:val="nil"/>
              <w:bottom w:val="nil"/>
              <w:right w:val="nil"/>
            </w:tcBorders>
            <w:shd w:val="clear" w:color="auto" w:fill="auto"/>
            <w:noWrap/>
            <w:hideMark/>
          </w:tcPr>
          <w:p w14:paraId="5F2BD2C3"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18810</w:t>
            </w:r>
          </w:p>
        </w:tc>
        <w:tc>
          <w:tcPr>
            <w:tcW w:w="606" w:type="dxa"/>
            <w:tcBorders>
              <w:top w:val="nil"/>
              <w:left w:val="nil"/>
              <w:bottom w:val="nil"/>
              <w:right w:val="nil"/>
            </w:tcBorders>
            <w:shd w:val="clear" w:color="auto" w:fill="auto"/>
            <w:noWrap/>
            <w:hideMark/>
          </w:tcPr>
          <w:p w14:paraId="2F41776E"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-34</w:t>
            </w:r>
          </w:p>
        </w:tc>
        <w:tc>
          <w:tcPr>
            <w:tcW w:w="567" w:type="dxa"/>
            <w:tcBorders>
              <w:top w:val="nil"/>
              <w:left w:val="nil"/>
              <w:bottom w:val="nil"/>
              <w:right w:val="nil"/>
            </w:tcBorders>
            <w:shd w:val="clear" w:color="auto" w:fill="auto"/>
            <w:noWrap/>
            <w:hideMark/>
          </w:tcPr>
          <w:p w14:paraId="7D8F82B6"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8</w:t>
            </w:r>
          </w:p>
        </w:tc>
        <w:tc>
          <w:tcPr>
            <w:tcW w:w="567" w:type="dxa"/>
            <w:tcBorders>
              <w:top w:val="nil"/>
              <w:left w:val="nil"/>
              <w:bottom w:val="nil"/>
              <w:right w:val="nil"/>
            </w:tcBorders>
            <w:shd w:val="clear" w:color="auto" w:fill="auto"/>
            <w:noWrap/>
            <w:hideMark/>
          </w:tcPr>
          <w:p w14:paraId="05967276"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-6</w:t>
            </w:r>
          </w:p>
        </w:tc>
        <w:tc>
          <w:tcPr>
            <w:tcW w:w="851" w:type="dxa"/>
            <w:tcBorders>
              <w:top w:val="nil"/>
              <w:left w:val="nil"/>
              <w:bottom w:val="nil"/>
              <w:right w:val="nil"/>
            </w:tcBorders>
            <w:shd w:val="clear" w:color="auto" w:fill="auto"/>
            <w:noWrap/>
            <w:hideMark/>
          </w:tcPr>
          <w:p w14:paraId="77B1D388"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-4.49</w:t>
            </w:r>
          </w:p>
        </w:tc>
        <w:tc>
          <w:tcPr>
            <w:tcW w:w="1275" w:type="dxa"/>
            <w:tcBorders>
              <w:top w:val="nil"/>
              <w:left w:val="nil"/>
              <w:bottom w:val="nil"/>
              <w:right w:val="nil"/>
            </w:tcBorders>
            <w:shd w:val="clear" w:color="auto" w:fill="auto"/>
            <w:noWrap/>
            <w:hideMark/>
          </w:tcPr>
          <w:p w14:paraId="7C0D1139"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4.38 x 10</w:t>
            </w:r>
            <w:r w:rsidRPr="00F224F6">
              <w:rPr>
                <w:rFonts w:ascii="Arial" w:eastAsia="Times New Roman" w:hAnsi="Arial" w:cs="Arial"/>
                <w:color w:val="000000"/>
                <w:sz w:val="22"/>
                <w:szCs w:val="22"/>
                <w:vertAlign w:val="superscript"/>
                <w:lang w:val="en-GB"/>
              </w:rPr>
              <w:t>-6</w:t>
            </w:r>
          </w:p>
        </w:tc>
      </w:tr>
      <w:tr w:rsidR="00F224F6" w:rsidRPr="00F224F6" w14:paraId="0520339D" w14:textId="77777777" w:rsidTr="00F224F6">
        <w:trPr>
          <w:trHeight w:val="1820"/>
        </w:trPr>
        <w:tc>
          <w:tcPr>
            <w:tcW w:w="1244" w:type="dxa"/>
            <w:tcBorders>
              <w:top w:val="nil"/>
              <w:left w:val="nil"/>
              <w:bottom w:val="nil"/>
              <w:right w:val="nil"/>
            </w:tcBorders>
            <w:shd w:val="clear" w:color="auto" w:fill="auto"/>
            <w:noWrap/>
            <w:hideMark/>
          </w:tcPr>
          <w:p w14:paraId="5D76CC99" w14:textId="77777777" w:rsidR="00F224F6" w:rsidRPr="00F224F6" w:rsidRDefault="00F224F6" w:rsidP="00F224F6">
            <w:pPr>
              <w:rPr>
                <w:rFonts w:ascii="Arial" w:eastAsia="Times New Roman" w:hAnsi="Arial" w:cs="Arial"/>
                <w:color w:val="000000"/>
                <w:sz w:val="22"/>
                <w:szCs w:val="22"/>
                <w:lang w:val="en-GB"/>
              </w:rPr>
            </w:pPr>
          </w:p>
        </w:tc>
        <w:tc>
          <w:tcPr>
            <w:tcW w:w="913" w:type="dxa"/>
            <w:tcBorders>
              <w:top w:val="nil"/>
              <w:left w:val="nil"/>
              <w:bottom w:val="nil"/>
              <w:right w:val="nil"/>
            </w:tcBorders>
            <w:shd w:val="clear" w:color="auto" w:fill="auto"/>
            <w:noWrap/>
            <w:hideMark/>
          </w:tcPr>
          <w:p w14:paraId="3194019E"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2</w:t>
            </w:r>
          </w:p>
        </w:tc>
        <w:tc>
          <w:tcPr>
            <w:tcW w:w="3584" w:type="dxa"/>
            <w:tcBorders>
              <w:top w:val="nil"/>
              <w:left w:val="nil"/>
              <w:bottom w:val="nil"/>
              <w:right w:val="nil"/>
            </w:tcBorders>
            <w:shd w:val="clear" w:color="auto" w:fill="auto"/>
            <w:hideMark/>
          </w:tcPr>
          <w:p w14:paraId="160EE3CA" w14:textId="77777777" w:rsidR="00F224F6" w:rsidRPr="00F224F6" w:rsidRDefault="00F224F6" w:rsidP="00F224F6">
            <w:pP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insula, lateral orbital frontal cortex, medial orbital frontal cortex, pars opercularis, pars orbitalis, pars triangularis, rostral middle frontal gyrus, superior frontal gyrus, superior temporal gyrus</w:t>
            </w:r>
          </w:p>
        </w:tc>
        <w:tc>
          <w:tcPr>
            <w:tcW w:w="657" w:type="dxa"/>
            <w:tcBorders>
              <w:top w:val="nil"/>
              <w:left w:val="nil"/>
              <w:bottom w:val="nil"/>
              <w:right w:val="nil"/>
            </w:tcBorders>
            <w:shd w:val="clear" w:color="auto" w:fill="auto"/>
            <w:noWrap/>
            <w:hideMark/>
          </w:tcPr>
          <w:p w14:paraId="54458A9B"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R</w:t>
            </w:r>
          </w:p>
        </w:tc>
        <w:tc>
          <w:tcPr>
            <w:tcW w:w="982" w:type="dxa"/>
            <w:tcBorders>
              <w:top w:val="nil"/>
              <w:left w:val="nil"/>
              <w:bottom w:val="nil"/>
              <w:right w:val="nil"/>
            </w:tcBorders>
            <w:shd w:val="clear" w:color="auto" w:fill="auto"/>
            <w:noWrap/>
            <w:hideMark/>
          </w:tcPr>
          <w:p w14:paraId="0AE34E6E"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13</w:t>
            </w:r>
          </w:p>
        </w:tc>
        <w:tc>
          <w:tcPr>
            <w:tcW w:w="1243" w:type="dxa"/>
            <w:tcBorders>
              <w:top w:val="nil"/>
              <w:left w:val="nil"/>
              <w:bottom w:val="nil"/>
              <w:right w:val="nil"/>
            </w:tcBorders>
            <w:shd w:val="clear" w:color="auto" w:fill="auto"/>
            <w:noWrap/>
            <w:hideMark/>
          </w:tcPr>
          <w:p w14:paraId="4D447793"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11946</w:t>
            </w:r>
          </w:p>
        </w:tc>
        <w:tc>
          <w:tcPr>
            <w:tcW w:w="606" w:type="dxa"/>
            <w:tcBorders>
              <w:top w:val="nil"/>
              <w:left w:val="nil"/>
              <w:bottom w:val="nil"/>
              <w:right w:val="nil"/>
            </w:tcBorders>
            <w:shd w:val="clear" w:color="auto" w:fill="auto"/>
            <w:noWrap/>
            <w:hideMark/>
          </w:tcPr>
          <w:p w14:paraId="56AC2349"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36</w:t>
            </w:r>
          </w:p>
        </w:tc>
        <w:tc>
          <w:tcPr>
            <w:tcW w:w="567" w:type="dxa"/>
            <w:tcBorders>
              <w:top w:val="nil"/>
              <w:left w:val="nil"/>
              <w:bottom w:val="nil"/>
              <w:right w:val="nil"/>
            </w:tcBorders>
            <w:shd w:val="clear" w:color="auto" w:fill="auto"/>
            <w:noWrap/>
            <w:hideMark/>
          </w:tcPr>
          <w:p w14:paraId="24D27C0A"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4</w:t>
            </w:r>
          </w:p>
        </w:tc>
        <w:tc>
          <w:tcPr>
            <w:tcW w:w="567" w:type="dxa"/>
            <w:tcBorders>
              <w:top w:val="nil"/>
              <w:left w:val="nil"/>
              <w:bottom w:val="nil"/>
              <w:right w:val="nil"/>
            </w:tcBorders>
            <w:shd w:val="clear" w:color="auto" w:fill="auto"/>
            <w:noWrap/>
            <w:hideMark/>
          </w:tcPr>
          <w:p w14:paraId="39ED6147"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-9</w:t>
            </w:r>
          </w:p>
        </w:tc>
        <w:tc>
          <w:tcPr>
            <w:tcW w:w="851" w:type="dxa"/>
            <w:tcBorders>
              <w:top w:val="nil"/>
              <w:left w:val="nil"/>
              <w:bottom w:val="nil"/>
              <w:right w:val="nil"/>
            </w:tcBorders>
            <w:shd w:val="clear" w:color="auto" w:fill="auto"/>
            <w:noWrap/>
            <w:hideMark/>
          </w:tcPr>
          <w:p w14:paraId="62B9ABDF"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-4.3</w:t>
            </w:r>
          </w:p>
        </w:tc>
        <w:tc>
          <w:tcPr>
            <w:tcW w:w="1275" w:type="dxa"/>
            <w:tcBorders>
              <w:top w:val="nil"/>
              <w:left w:val="nil"/>
              <w:bottom w:val="nil"/>
              <w:right w:val="nil"/>
            </w:tcBorders>
            <w:shd w:val="clear" w:color="auto" w:fill="auto"/>
            <w:noWrap/>
            <w:hideMark/>
          </w:tcPr>
          <w:p w14:paraId="08036401"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5.04 x 10</w:t>
            </w:r>
            <w:r w:rsidRPr="00F224F6">
              <w:rPr>
                <w:rFonts w:ascii="Arial" w:eastAsia="Times New Roman" w:hAnsi="Arial" w:cs="Arial"/>
                <w:color w:val="000000"/>
                <w:sz w:val="22"/>
                <w:szCs w:val="22"/>
                <w:vertAlign w:val="superscript"/>
                <w:lang w:val="en-GB"/>
              </w:rPr>
              <w:t>-6</w:t>
            </w:r>
          </w:p>
        </w:tc>
      </w:tr>
      <w:tr w:rsidR="00F224F6" w:rsidRPr="00F224F6" w14:paraId="153452DA" w14:textId="77777777" w:rsidTr="00F224F6">
        <w:trPr>
          <w:trHeight w:val="1560"/>
        </w:trPr>
        <w:tc>
          <w:tcPr>
            <w:tcW w:w="1244" w:type="dxa"/>
            <w:tcBorders>
              <w:top w:val="nil"/>
              <w:left w:val="nil"/>
              <w:bottom w:val="nil"/>
              <w:right w:val="nil"/>
            </w:tcBorders>
            <w:shd w:val="clear" w:color="auto" w:fill="auto"/>
            <w:noWrap/>
            <w:hideMark/>
          </w:tcPr>
          <w:p w14:paraId="3F68B8D2" w14:textId="77777777" w:rsidR="00F224F6" w:rsidRPr="00F224F6" w:rsidRDefault="00F224F6" w:rsidP="00F224F6">
            <w:pPr>
              <w:rPr>
                <w:rFonts w:ascii="Arial" w:eastAsia="Times New Roman" w:hAnsi="Arial" w:cs="Arial"/>
                <w:color w:val="000000"/>
                <w:sz w:val="22"/>
                <w:szCs w:val="22"/>
                <w:lang w:val="en-GB"/>
              </w:rPr>
            </w:pPr>
          </w:p>
        </w:tc>
        <w:tc>
          <w:tcPr>
            <w:tcW w:w="913" w:type="dxa"/>
            <w:tcBorders>
              <w:top w:val="nil"/>
              <w:left w:val="nil"/>
              <w:bottom w:val="nil"/>
              <w:right w:val="nil"/>
            </w:tcBorders>
            <w:shd w:val="clear" w:color="auto" w:fill="auto"/>
            <w:noWrap/>
            <w:hideMark/>
          </w:tcPr>
          <w:p w14:paraId="2F871F44"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3</w:t>
            </w:r>
          </w:p>
        </w:tc>
        <w:tc>
          <w:tcPr>
            <w:tcW w:w="3584" w:type="dxa"/>
            <w:tcBorders>
              <w:top w:val="nil"/>
              <w:left w:val="nil"/>
              <w:bottom w:val="nil"/>
              <w:right w:val="nil"/>
            </w:tcBorders>
            <w:shd w:val="clear" w:color="auto" w:fill="auto"/>
            <w:vAlign w:val="center"/>
            <w:hideMark/>
          </w:tcPr>
          <w:p w14:paraId="6DC73869" w14:textId="77777777" w:rsidR="00F224F6" w:rsidRPr="00F224F6" w:rsidRDefault="00F224F6" w:rsidP="00F224F6">
            <w:pP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banks superior temporal sulcus, inferior parietal cortex, inferior temporal gyrus, lateral occipital cortex, middle temporal gyrus, superior parietal cortex, superior temporal gyrus</w:t>
            </w:r>
          </w:p>
        </w:tc>
        <w:tc>
          <w:tcPr>
            <w:tcW w:w="657" w:type="dxa"/>
            <w:tcBorders>
              <w:top w:val="nil"/>
              <w:left w:val="nil"/>
              <w:bottom w:val="nil"/>
              <w:right w:val="nil"/>
            </w:tcBorders>
            <w:shd w:val="clear" w:color="auto" w:fill="auto"/>
            <w:noWrap/>
            <w:hideMark/>
          </w:tcPr>
          <w:p w14:paraId="0ECC03A4"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L</w:t>
            </w:r>
          </w:p>
        </w:tc>
        <w:tc>
          <w:tcPr>
            <w:tcW w:w="982" w:type="dxa"/>
            <w:tcBorders>
              <w:top w:val="nil"/>
              <w:left w:val="nil"/>
              <w:bottom w:val="nil"/>
              <w:right w:val="nil"/>
            </w:tcBorders>
            <w:shd w:val="clear" w:color="auto" w:fill="auto"/>
            <w:noWrap/>
            <w:hideMark/>
          </w:tcPr>
          <w:p w14:paraId="43B468D8"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21/22</w:t>
            </w:r>
          </w:p>
        </w:tc>
        <w:tc>
          <w:tcPr>
            <w:tcW w:w="1243" w:type="dxa"/>
            <w:tcBorders>
              <w:top w:val="nil"/>
              <w:left w:val="nil"/>
              <w:bottom w:val="nil"/>
              <w:right w:val="nil"/>
            </w:tcBorders>
            <w:shd w:val="clear" w:color="auto" w:fill="auto"/>
            <w:noWrap/>
            <w:hideMark/>
          </w:tcPr>
          <w:p w14:paraId="7B26FE22"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10502</w:t>
            </w:r>
          </w:p>
        </w:tc>
        <w:tc>
          <w:tcPr>
            <w:tcW w:w="606" w:type="dxa"/>
            <w:tcBorders>
              <w:top w:val="nil"/>
              <w:left w:val="nil"/>
              <w:bottom w:val="nil"/>
              <w:right w:val="nil"/>
            </w:tcBorders>
            <w:shd w:val="clear" w:color="auto" w:fill="auto"/>
            <w:noWrap/>
            <w:hideMark/>
          </w:tcPr>
          <w:p w14:paraId="21F04C20"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-40</w:t>
            </w:r>
          </w:p>
        </w:tc>
        <w:tc>
          <w:tcPr>
            <w:tcW w:w="567" w:type="dxa"/>
            <w:tcBorders>
              <w:top w:val="nil"/>
              <w:left w:val="nil"/>
              <w:bottom w:val="nil"/>
              <w:right w:val="nil"/>
            </w:tcBorders>
            <w:shd w:val="clear" w:color="auto" w:fill="auto"/>
            <w:noWrap/>
            <w:hideMark/>
          </w:tcPr>
          <w:p w14:paraId="1AA51F26"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-50</w:t>
            </w:r>
          </w:p>
        </w:tc>
        <w:tc>
          <w:tcPr>
            <w:tcW w:w="567" w:type="dxa"/>
            <w:tcBorders>
              <w:top w:val="nil"/>
              <w:left w:val="nil"/>
              <w:bottom w:val="nil"/>
              <w:right w:val="nil"/>
            </w:tcBorders>
            <w:shd w:val="clear" w:color="auto" w:fill="auto"/>
            <w:noWrap/>
            <w:hideMark/>
          </w:tcPr>
          <w:p w14:paraId="4BA8BF22"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18</w:t>
            </w:r>
          </w:p>
        </w:tc>
        <w:tc>
          <w:tcPr>
            <w:tcW w:w="851" w:type="dxa"/>
            <w:tcBorders>
              <w:top w:val="nil"/>
              <w:left w:val="nil"/>
              <w:bottom w:val="nil"/>
              <w:right w:val="nil"/>
            </w:tcBorders>
            <w:shd w:val="clear" w:color="auto" w:fill="auto"/>
            <w:noWrap/>
            <w:hideMark/>
          </w:tcPr>
          <w:p w14:paraId="23B95C63"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-4.53</w:t>
            </w:r>
          </w:p>
        </w:tc>
        <w:tc>
          <w:tcPr>
            <w:tcW w:w="1275" w:type="dxa"/>
            <w:tcBorders>
              <w:top w:val="nil"/>
              <w:left w:val="nil"/>
              <w:bottom w:val="nil"/>
              <w:right w:val="nil"/>
            </w:tcBorders>
            <w:shd w:val="clear" w:color="auto" w:fill="auto"/>
            <w:noWrap/>
            <w:hideMark/>
          </w:tcPr>
          <w:p w14:paraId="1919FE0F"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9.20 x 10</w:t>
            </w:r>
            <w:r w:rsidRPr="00F224F6">
              <w:rPr>
                <w:rFonts w:ascii="Arial" w:eastAsia="Times New Roman" w:hAnsi="Arial" w:cs="Arial"/>
                <w:color w:val="000000"/>
                <w:sz w:val="22"/>
                <w:szCs w:val="22"/>
                <w:vertAlign w:val="superscript"/>
                <w:lang w:val="en-GB"/>
              </w:rPr>
              <w:t>-6</w:t>
            </w:r>
          </w:p>
        </w:tc>
      </w:tr>
      <w:tr w:rsidR="00F224F6" w:rsidRPr="00F224F6" w14:paraId="1F44E310" w14:textId="77777777" w:rsidTr="00F224F6">
        <w:trPr>
          <w:trHeight w:val="820"/>
        </w:trPr>
        <w:tc>
          <w:tcPr>
            <w:tcW w:w="1244" w:type="dxa"/>
            <w:tcBorders>
              <w:top w:val="nil"/>
              <w:left w:val="nil"/>
              <w:bottom w:val="nil"/>
              <w:right w:val="nil"/>
            </w:tcBorders>
            <w:shd w:val="clear" w:color="auto" w:fill="auto"/>
            <w:noWrap/>
            <w:hideMark/>
          </w:tcPr>
          <w:p w14:paraId="135B4107" w14:textId="77777777" w:rsidR="00F224F6" w:rsidRPr="00F224F6" w:rsidRDefault="00F224F6" w:rsidP="00F224F6">
            <w:pPr>
              <w:rPr>
                <w:rFonts w:ascii="Arial" w:eastAsia="Times New Roman" w:hAnsi="Arial" w:cs="Arial"/>
                <w:color w:val="000000"/>
                <w:sz w:val="22"/>
                <w:szCs w:val="22"/>
                <w:lang w:val="en-GB"/>
              </w:rPr>
            </w:pPr>
          </w:p>
        </w:tc>
        <w:tc>
          <w:tcPr>
            <w:tcW w:w="913" w:type="dxa"/>
            <w:tcBorders>
              <w:top w:val="nil"/>
              <w:left w:val="nil"/>
              <w:bottom w:val="nil"/>
              <w:right w:val="nil"/>
            </w:tcBorders>
            <w:shd w:val="clear" w:color="auto" w:fill="auto"/>
            <w:noWrap/>
            <w:hideMark/>
          </w:tcPr>
          <w:p w14:paraId="2EDA5620"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4</w:t>
            </w:r>
          </w:p>
        </w:tc>
        <w:tc>
          <w:tcPr>
            <w:tcW w:w="3584" w:type="dxa"/>
            <w:tcBorders>
              <w:top w:val="nil"/>
              <w:left w:val="nil"/>
              <w:bottom w:val="nil"/>
              <w:right w:val="nil"/>
            </w:tcBorders>
            <w:shd w:val="clear" w:color="auto" w:fill="auto"/>
            <w:hideMark/>
          </w:tcPr>
          <w:p w14:paraId="0926E664" w14:textId="77777777" w:rsidR="00F224F6" w:rsidRPr="00F224F6" w:rsidRDefault="00F224F6" w:rsidP="00F224F6">
            <w:pP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callosomarginal sulcus/cingulate sulcus, paracentral lobule, superior frontal gyrus</w:t>
            </w:r>
          </w:p>
        </w:tc>
        <w:tc>
          <w:tcPr>
            <w:tcW w:w="657" w:type="dxa"/>
            <w:tcBorders>
              <w:top w:val="nil"/>
              <w:left w:val="nil"/>
              <w:bottom w:val="nil"/>
              <w:right w:val="nil"/>
            </w:tcBorders>
            <w:shd w:val="clear" w:color="auto" w:fill="auto"/>
            <w:noWrap/>
            <w:hideMark/>
          </w:tcPr>
          <w:p w14:paraId="346138DC"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L</w:t>
            </w:r>
          </w:p>
        </w:tc>
        <w:tc>
          <w:tcPr>
            <w:tcW w:w="982" w:type="dxa"/>
            <w:tcBorders>
              <w:top w:val="nil"/>
              <w:left w:val="nil"/>
              <w:bottom w:val="nil"/>
              <w:right w:val="nil"/>
            </w:tcBorders>
            <w:shd w:val="clear" w:color="auto" w:fill="auto"/>
            <w:noWrap/>
            <w:hideMark/>
          </w:tcPr>
          <w:p w14:paraId="10CF220C"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32</w:t>
            </w:r>
          </w:p>
        </w:tc>
        <w:tc>
          <w:tcPr>
            <w:tcW w:w="1243" w:type="dxa"/>
            <w:tcBorders>
              <w:top w:val="nil"/>
              <w:left w:val="nil"/>
              <w:bottom w:val="nil"/>
              <w:right w:val="nil"/>
            </w:tcBorders>
            <w:shd w:val="clear" w:color="auto" w:fill="auto"/>
            <w:noWrap/>
            <w:hideMark/>
          </w:tcPr>
          <w:p w14:paraId="7559DCD4"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6899</w:t>
            </w:r>
          </w:p>
        </w:tc>
        <w:tc>
          <w:tcPr>
            <w:tcW w:w="606" w:type="dxa"/>
            <w:tcBorders>
              <w:top w:val="nil"/>
              <w:left w:val="nil"/>
              <w:bottom w:val="nil"/>
              <w:right w:val="nil"/>
            </w:tcBorders>
            <w:shd w:val="clear" w:color="auto" w:fill="auto"/>
            <w:noWrap/>
            <w:hideMark/>
          </w:tcPr>
          <w:p w14:paraId="1379B33E"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-12</w:t>
            </w:r>
          </w:p>
        </w:tc>
        <w:tc>
          <w:tcPr>
            <w:tcW w:w="567" w:type="dxa"/>
            <w:tcBorders>
              <w:top w:val="nil"/>
              <w:left w:val="nil"/>
              <w:bottom w:val="nil"/>
              <w:right w:val="nil"/>
            </w:tcBorders>
            <w:shd w:val="clear" w:color="auto" w:fill="auto"/>
            <w:noWrap/>
            <w:hideMark/>
          </w:tcPr>
          <w:p w14:paraId="3EDE1FAD"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16</w:t>
            </w:r>
          </w:p>
        </w:tc>
        <w:tc>
          <w:tcPr>
            <w:tcW w:w="567" w:type="dxa"/>
            <w:tcBorders>
              <w:top w:val="nil"/>
              <w:left w:val="nil"/>
              <w:bottom w:val="nil"/>
              <w:right w:val="nil"/>
            </w:tcBorders>
            <w:shd w:val="clear" w:color="auto" w:fill="auto"/>
            <w:noWrap/>
            <w:hideMark/>
          </w:tcPr>
          <w:p w14:paraId="6A71F4A1"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37</w:t>
            </w:r>
          </w:p>
        </w:tc>
        <w:tc>
          <w:tcPr>
            <w:tcW w:w="851" w:type="dxa"/>
            <w:tcBorders>
              <w:top w:val="nil"/>
              <w:left w:val="nil"/>
              <w:bottom w:val="nil"/>
              <w:right w:val="nil"/>
            </w:tcBorders>
            <w:shd w:val="clear" w:color="auto" w:fill="auto"/>
            <w:noWrap/>
            <w:hideMark/>
          </w:tcPr>
          <w:p w14:paraId="30C2BAF3"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-5.06</w:t>
            </w:r>
          </w:p>
        </w:tc>
        <w:tc>
          <w:tcPr>
            <w:tcW w:w="1275" w:type="dxa"/>
            <w:tcBorders>
              <w:top w:val="nil"/>
              <w:left w:val="nil"/>
              <w:bottom w:val="nil"/>
              <w:right w:val="nil"/>
            </w:tcBorders>
            <w:shd w:val="clear" w:color="auto" w:fill="auto"/>
            <w:noWrap/>
            <w:hideMark/>
          </w:tcPr>
          <w:p w14:paraId="398ADCC9"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6.07 x 10</w:t>
            </w:r>
            <w:r w:rsidRPr="00F224F6">
              <w:rPr>
                <w:rFonts w:ascii="Arial" w:eastAsia="Times New Roman" w:hAnsi="Arial" w:cs="Arial"/>
                <w:color w:val="000000"/>
                <w:sz w:val="22"/>
                <w:szCs w:val="22"/>
                <w:vertAlign w:val="superscript"/>
                <w:lang w:val="en-GB"/>
              </w:rPr>
              <w:t>-5</w:t>
            </w:r>
          </w:p>
        </w:tc>
      </w:tr>
      <w:tr w:rsidR="00F224F6" w:rsidRPr="00F224F6" w14:paraId="2405BC67" w14:textId="77777777" w:rsidTr="00F224F6">
        <w:trPr>
          <w:trHeight w:val="780"/>
        </w:trPr>
        <w:tc>
          <w:tcPr>
            <w:tcW w:w="1244" w:type="dxa"/>
            <w:tcBorders>
              <w:top w:val="nil"/>
              <w:left w:val="nil"/>
              <w:bottom w:val="nil"/>
              <w:right w:val="nil"/>
            </w:tcBorders>
            <w:shd w:val="clear" w:color="auto" w:fill="auto"/>
            <w:noWrap/>
            <w:hideMark/>
          </w:tcPr>
          <w:p w14:paraId="30C7A0B3" w14:textId="77777777" w:rsidR="00F224F6" w:rsidRPr="00F224F6" w:rsidRDefault="00F224F6" w:rsidP="00F224F6">
            <w:pPr>
              <w:rPr>
                <w:rFonts w:ascii="Arial" w:eastAsia="Times New Roman" w:hAnsi="Arial" w:cs="Arial"/>
                <w:color w:val="000000"/>
                <w:sz w:val="22"/>
                <w:szCs w:val="22"/>
                <w:lang w:val="en-GB"/>
              </w:rPr>
            </w:pPr>
          </w:p>
        </w:tc>
        <w:tc>
          <w:tcPr>
            <w:tcW w:w="913" w:type="dxa"/>
            <w:tcBorders>
              <w:top w:val="nil"/>
              <w:left w:val="nil"/>
              <w:bottom w:val="nil"/>
              <w:right w:val="nil"/>
            </w:tcBorders>
            <w:shd w:val="clear" w:color="auto" w:fill="auto"/>
            <w:noWrap/>
            <w:hideMark/>
          </w:tcPr>
          <w:p w14:paraId="756CBC3B"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5</w:t>
            </w:r>
          </w:p>
        </w:tc>
        <w:tc>
          <w:tcPr>
            <w:tcW w:w="3584" w:type="dxa"/>
            <w:tcBorders>
              <w:top w:val="nil"/>
              <w:left w:val="nil"/>
              <w:bottom w:val="nil"/>
              <w:right w:val="nil"/>
            </w:tcBorders>
            <w:shd w:val="clear" w:color="auto" w:fill="auto"/>
            <w:vAlign w:val="center"/>
            <w:hideMark/>
          </w:tcPr>
          <w:p w14:paraId="677E0F07" w14:textId="77777777" w:rsidR="00F224F6" w:rsidRPr="00F224F6" w:rsidRDefault="00F224F6" w:rsidP="00F224F6">
            <w:pP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superior frontal gyrus, medial frontal gyrus, paracentral lobule, postcentral gyrus</w:t>
            </w:r>
          </w:p>
        </w:tc>
        <w:tc>
          <w:tcPr>
            <w:tcW w:w="657" w:type="dxa"/>
            <w:tcBorders>
              <w:top w:val="nil"/>
              <w:left w:val="nil"/>
              <w:bottom w:val="nil"/>
              <w:right w:val="nil"/>
            </w:tcBorders>
            <w:shd w:val="clear" w:color="auto" w:fill="auto"/>
            <w:noWrap/>
            <w:hideMark/>
          </w:tcPr>
          <w:p w14:paraId="6A137973"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R</w:t>
            </w:r>
          </w:p>
        </w:tc>
        <w:tc>
          <w:tcPr>
            <w:tcW w:w="982" w:type="dxa"/>
            <w:tcBorders>
              <w:top w:val="nil"/>
              <w:left w:val="nil"/>
              <w:bottom w:val="nil"/>
              <w:right w:val="nil"/>
            </w:tcBorders>
            <w:shd w:val="clear" w:color="auto" w:fill="auto"/>
            <w:noWrap/>
            <w:hideMark/>
          </w:tcPr>
          <w:p w14:paraId="08271EED"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4/6</w:t>
            </w:r>
          </w:p>
        </w:tc>
        <w:tc>
          <w:tcPr>
            <w:tcW w:w="1243" w:type="dxa"/>
            <w:tcBorders>
              <w:top w:val="nil"/>
              <w:left w:val="nil"/>
              <w:bottom w:val="nil"/>
              <w:right w:val="nil"/>
            </w:tcBorders>
            <w:shd w:val="clear" w:color="auto" w:fill="auto"/>
            <w:noWrap/>
            <w:hideMark/>
          </w:tcPr>
          <w:p w14:paraId="5FDA1E05"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8248</w:t>
            </w:r>
          </w:p>
        </w:tc>
        <w:tc>
          <w:tcPr>
            <w:tcW w:w="606" w:type="dxa"/>
            <w:tcBorders>
              <w:top w:val="nil"/>
              <w:left w:val="nil"/>
              <w:bottom w:val="nil"/>
              <w:right w:val="nil"/>
            </w:tcBorders>
            <w:shd w:val="clear" w:color="auto" w:fill="auto"/>
            <w:noWrap/>
            <w:hideMark/>
          </w:tcPr>
          <w:p w14:paraId="4DBEA14C"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13</w:t>
            </w:r>
          </w:p>
        </w:tc>
        <w:tc>
          <w:tcPr>
            <w:tcW w:w="567" w:type="dxa"/>
            <w:tcBorders>
              <w:top w:val="nil"/>
              <w:left w:val="nil"/>
              <w:bottom w:val="nil"/>
              <w:right w:val="nil"/>
            </w:tcBorders>
            <w:shd w:val="clear" w:color="auto" w:fill="auto"/>
            <w:noWrap/>
            <w:hideMark/>
          </w:tcPr>
          <w:p w14:paraId="253EC7A3"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4</w:t>
            </w:r>
          </w:p>
        </w:tc>
        <w:tc>
          <w:tcPr>
            <w:tcW w:w="567" w:type="dxa"/>
            <w:tcBorders>
              <w:top w:val="nil"/>
              <w:left w:val="nil"/>
              <w:bottom w:val="nil"/>
              <w:right w:val="nil"/>
            </w:tcBorders>
            <w:shd w:val="clear" w:color="auto" w:fill="auto"/>
            <w:noWrap/>
            <w:hideMark/>
          </w:tcPr>
          <w:p w14:paraId="747D88AF"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60</w:t>
            </w:r>
          </w:p>
        </w:tc>
        <w:tc>
          <w:tcPr>
            <w:tcW w:w="851" w:type="dxa"/>
            <w:tcBorders>
              <w:top w:val="nil"/>
              <w:left w:val="nil"/>
              <w:bottom w:val="nil"/>
              <w:right w:val="nil"/>
            </w:tcBorders>
            <w:shd w:val="clear" w:color="auto" w:fill="auto"/>
            <w:noWrap/>
            <w:hideMark/>
          </w:tcPr>
          <w:p w14:paraId="0EF1A4ED"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-3.49</w:t>
            </w:r>
          </w:p>
        </w:tc>
        <w:tc>
          <w:tcPr>
            <w:tcW w:w="1275" w:type="dxa"/>
            <w:tcBorders>
              <w:top w:val="nil"/>
              <w:left w:val="nil"/>
              <w:bottom w:val="nil"/>
              <w:right w:val="nil"/>
            </w:tcBorders>
            <w:shd w:val="clear" w:color="auto" w:fill="auto"/>
            <w:noWrap/>
            <w:hideMark/>
          </w:tcPr>
          <w:p w14:paraId="6750DB9B"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1.35 x 10</w:t>
            </w:r>
            <w:r w:rsidRPr="00F224F6">
              <w:rPr>
                <w:rFonts w:ascii="Arial" w:eastAsia="Times New Roman" w:hAnsi="Arial" w:cs="Arial"/>
                <w:color w:val="000000"/>
                <w:sz w:val="22"/>
                <w:szCs w:val="22"/>
                <w:vertAlign w:val="superscript"/>
                <w:lang w:val="en-GB"/>
              </w:rPr>
              <w:t>-4</w:t>
            </w:r>
          </w:p>
        </w:tc>
      </w:tr>
      <w:tr w:rsidR="00F224F6" w:rsidRPr="00F224F6" w14:paraId="3FAE8973" w14:textId="77777777" w:rsidTr="00F224F6">
        <w:trPr>
          <w:trHeight w:val="520"/>
        </w:trPr>
        <w:tc>
          <w:tcPr>
            <w:tcW w:w="1244" w:type="dxa"/>
            <w:tcBorders>
              <w:top w:val="nil"/>
              <w:left w:val="nil"/>
              <w:bottom w:val="nil"/>
              <w:right w:val="nil"/>
            </w:tcBorders>
            <w:shd w:val="clear" w:color="auto" w:fill="auto"/>
            <w:noWrap/>
            <w:hideMark/>
          </w:tcPr>
          <w:p w14:paraId="0B196EE6" w14:textId="77777777" w:rsidR="00F224F6" w:rsidRPr="00F224F6" w:rsidRDefault="00F224F6" w:rsidP="00F224F6">
            <w:pPr>
              <w:rPr>
                <w:rFonts w:ascii="Arial" w:eastAsia="Times New Roman" w:hAnsi="Arial" w:cs="Arial"/>
                <w:color w:val="000000"/>
                <w:sz w:val="22"/>
                <w:szCs w:val="22"/>
                <w:lang w:val="en-GB"/>
              </w:rPr>
            </w:pPr>
          </w:p>
        </w:tc>
        <w:tc>
          <w:tcPr>
            <w:tcW w:w="913" w:type="dxa"/>
            <w:tcBorders>
              <w:top w:val="nil"/>
              <w:left w:val="nil"/>
              <w:bottom w:val="nil"/>
              <w:right w:val="nil"/>
            </w:tcBorders>
            <w:shd w:val="clear" w:color="auto" w:fill="auto"/>
            <w:noWrap/>
            <w:hideMark/>
          </w:tcPr>
          <w:p w14:paraId="69C018DC"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6</w:t>
            </w:r>
          </w:p>
        </w:tc>
        <w:tc>
          <w:tcPr>
            <w:tcW w:w="3584" w:type="dxa"/>
            <w:tcBorders>
              <w:top w:val="nil"/>
              <w:left w:val="nil"/>
              <w:bottom w:val="nil"/>
              <w:right w:val="nil"/>
            </w:tcBorders>
            <w:shd w:val="clear" w:color="auto" w:fill="auto"/>
            <w:vAlign w:val="center"/>
            <w:hideMark/>
          </w:tcPr>
          <w:p w14:paraId="0986AFAE" w14:textId="77777777" w:rsidR="00F224F6" w:rsidRPr="00F224F6" w:rsidRDefault="00F224F6" w:rsidP="00F224F6">
            <w:pP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precentral gyrus, postcentral gyrus</w:t>
            </w:r>
          </w:p>
        </w:tc>
        <w:tc>
          <w:tcPr>
            <w:tcW w:w="657" w:type="dxa"/>
            <w:tcBorders>
              <w:top w:val="nil"/>
              <w:left w:val="nil"/>
              <w:bottom w:val="nil"/>
              <w:right w:val="nil"/>
            </w:tcBorders>
            <w:shd w:val="clear" w:color="auto" w:fill="auto"/>
            <w:noWrap/>
            <w:hideMark/>
          </w:tcPr>
          <w:p w14:paraId="0F0E4E13"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L</w:t>
            </w:r>
          </w:p>
        </w:tc>
        <w:tc>
          <w:tcPr>
            <w:tcW w:w="982" w:type="dxa"/>
            <w:tcBorders>
              <w:top w:val="nil"/>
              <w:left w:val="nil"/>
              <w:bottom w:val="nil"/>
              <w:right w:val="nil"/>
            </w:tcBorders>
            <w:shd w:val="clear" w:color="auto" w:fill="auto"/>
            <w:noWrap/>
            <w:hideMark/>
          </w:tcPr>
          <w:p w14:paraId="32D5FAA8"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4</w:t>
            </w:r>
          </w:p>
        </w:tc>
        <w:tc>
          <w:tcPr>
            <w:tcW w:w="1243" w:type="dxa"/>
            <w:tcBorders>
              <w:top w:val="nil"/>
              <w:left w:val="nil"/>
              <w:bottom w:val="nil"/>
              <w:right w:val="nil"/>
            </w:tcBorders>
            <w:shd w:val="clear" w:color="auto" w:fill="auto"/>
            <w:noWrap/>
            <w:hideMark/>
          </w:tcPr>
          <w:p w14:paraId="55FDCB02"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6829</w:t>
            </w:r>
          </w:p>
        </w:tc>
        <w:tc>
          <w:tcPr>
            <w:tcW w:w="606" w:type="dxa"/>
            <w:tcBorders>
              <w:top w:val="nil"/>
              <w:left w:val="nil"/>
              <w:bottom w:val="nil"/>
              <w:right w:val="nil"/>
            </w:tcBorders>
            <w:shd w:val="clear" w:color="auto" w:fill="auto"/>
            <w:noWrap/>
            <w:hideMark/>
          </w:tcPr>
          <w:p w14:paraId="0461EC9D"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-34</w:t>
            </w:r>
          </w:p>
        </w:tc>
        <w:tc>
          <w:tcPr>
            <w:tcW w:w="567" w:type="dxa"/>
            <w:tcBorders>
              <w:top w:val="nil"/>
              <w:left w:val="nil"/>
              <w:bottom w:val="nil"/>
              <w:right w:val="nil"/>
            </w:tcBorders>
            <w:shd w:val="clear" w:color="auto" w:fill="auto"/>
            <w:noWrap/>
            <w:hideMark/>
          </w:tcPr>
          <w:p w14:paraId="3BBEF131"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-15</w:t>
            </w:r>
          </w:p>
        </w:tc>
        <w:tc>
          <w:tcPr>
            <w:tcW w:w="567" w:type="dxa"/>
            <w:tcBorders>
              <w:top w:val="nil"/>
              <w:left w:val="nil"/>
              <w:bottom w:val="nil"/>
              <w:right w:val="nil"/>
            </w:tcBorders>
            <w:shd w:val="clear" w:color="auto" w:fill="auto"/>
            <w:noWrap/>
            <w:hideMark/>
          </w:tcPr>
          <w:p w14:paraId="2737BA72"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48</w:t>
            </w:r>
          </w:p>
        </w:tc>
        <w:tc>
          <w:tcPr>
            <w:tcW w:w="851" w:type="dxa"/>
            <w:tcBorders>
              <w:top w:val="nil"/>
              <w:left w:val="nil"/>
              <w:bottom w:val="nil"/>
              <w:right w:val="nil"/>
            </w:tcBorders>
            <w:shd w:val="clear" w:color="auto" w:fill="auto"/>
            <w:noWrap/>
            <w:hideMark/>
          </w:tcPr>
          <w:p w14:paraId="1FF8727F"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-3.4</w:t>
            </w:r>
          </w:p>
        </w:tc>
        <w:tc>
          <w:tcPr>
            <w:tcW w:w="1275" w:type="dxa"/>
            <w:tcBorders>
              <w:top w:val="nil"/>
              <w:left w:val="nil"/>
              <w:bottom w:val="nil"/>
              <w:right w:val="nil"/>
            </w:tcBorders>
            <w:shd w:val="clear" w:color="auto" w:fill="auto"/>
            <w:noWrap/>
            <w:hideMark/>
          </w:tcPr>
          <w:p w14:paraId="194D25C4"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2.59 x 10</w:t>
            </w:r>
            <w:r w:rsidRPr="00F224F6">
              <w:rPr>
                <w:rFonts w:ascii="Arial" w:eastAsia="Times New Roman" w:hAnsi="Arial" w:cs="Arial"/>
                <w:color w:val="000000"/>
                <w:sz w:val="22"/>
                <w:szCs w:val="22"/>
                <w:vertAlign w:val="superscript"/>
                <w:lang w:val="en-GB"/>
              </w:rPr>
              <w:t>-3</w:t>
            </w:r>
          </w:p>
        </w:tc>
      </w:tr>
      <w:tr w:rsidR="00F224F6" w:rsidRPr="00F224F6" w14:paraId="3C50FFFB" w14:textId="77777777" w:rsidTr="00F224F6">
        <w:trPr>
          <w:trHeight w:val="1040"/>
        </w:trPr>
        <w:tc>
          <w:tcPr>
            <w:tcW w:w="1244" w:type="dxa"/>
            <w:tcBorders>
              <w:top w:val="nil"/>
              <w:left w:val="nil"/>
              <w:bottom w:val="nil"/>
              <w:right w:val="nil"/>
            </w:tcBorders>
            <w:shd w:val="clear" w:color="auto" w:fill="auto"/>
            <w:noWrap/>
            <w:hideMark/>
          </w:tcPr>
          <w:p w14:paraId="25DBD1ED" w14:textId="77777777" w:rsidR="00F224F6" w:rsidRPr="00F224F6" w:rsidRDefault="00F224F6" w:rsidP="00F224F6">
            <w:pPr>
              <w:rPr>
                <w:rFonts w:ascii="Arial" w:eastAsia="Times New Roman" w:hAnsi="Arial" w:cs="Arial"/>
                <w:color w:val="000000"/>
                <w:sz w:val="22"/>
                <w:szCs w:val="22"/>
                <w:lang w:val="en-GB"/>
              </w:rPr>
            </w:pPr>
          </w:p>
        </w:tc>
        <w:tc>
          <w:tcPr>
            <w:tcW w:w="913" w:type="dxa"/>
            <w:tcBorders>
              <w:top w:val="nil"/>
              <w:left w:val="nil"/>
              <w:bottom w:val="nil"/>
              <w:right w:val="nil"/>
            </w:tcBorders>
            <w:shd w:val="clear" w:color="auto" w:fill="auto"/>
            <w:noWrap/>
            <w:hideMark/>
          </w:tcPr>
          <w:p w14:paraId="7D114012"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7</w:t>
            </w:r>
          </w:p>
        </w:tc>
        <w:tc>
          <w:tcPr>
            <w:tcW w:w="3584" w:type="dxa"/>
            <w:tcBorders>
              <w:top w:val="nil"/>
              <w:left w:val="nil"/>
              <w:bottom w:val="nil"/>
              <w:right w:val="nil"/>
            </w:tcBorders>
            <w:shd w:val="clear" w:color="auto" w:fill="auto"/>
            <w:vAlign w:val="center"/>
            <w:hideMark/>
          </w:tcPr>
          <w:p w14:paraId="19D3DD9D" w14:textId="77777777" w:rsidR="00F224F6" w:rsidRPr="00F224F6" w:rsidRDefault="00F224F6" w:rsidP="00F224F6">
            <w:pP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 xml:space="preserve">rostral anterior cingulate cortex, caudal anterior-cingulate cortex, posterior-cingulate cortex, superior frontal gyrus </w:t>
            </w:r>
          </w:p>
        </w:tc>
        <w:tc>
          <w:tcPr>
            <w:tcW w:w="657" w:type="dxa"/>
            <w:tcBorders>
              <w:top w:val="nil"/>
              <w:left w:val="nil"/>
              <w:bottom w:val="nil"/>
              <w:right w:val="nil"/>
            </w:tcBorders>
            <w:shd w:val="clear" w:color="auto" w:fill="auto"/>
            <w:noWrap/>
            <w:hideMark/>
          </w:tcPr>
          <w:p w14:paraId="6FE9993D"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R</w:t>
            </w:r>
          </w:p>
        </w:tc>
        <w:tc>
          <w:tcPr>
            <w:tcW w:w="982" w:type="dxa"/>
            <w:tcBorders>
              <w:top w:val="nil"/>
              <w:left w:val="nil"/>
              <w:bottom w:val="nil"/>
              <w:right w:val="nil"/>
            </w:tcBorders>
            <w:shd w:val="clear" w:color="auto" w:fill="auto"/>
            <w:noWrap/>
            <w:hideMark/>
          </w:tcPr>
          <w:p w14:paraId="6FA8A4C1"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24</w:t>
            </w:r>
          </w:p>
        </w:tc>
        <w:tc>
          <w:tcPr>
            <w:tcW w:w="1243" w:type="dxa"/>
            <w:tcBorders>
              <w:top w:val="nil"/>
              <w:left w:val="nil"/>
              <w:bottom w:val="nil"/>
              <w:right w:val="nil"/>
            </w:tcBorders>
            <w:shd w:val="clear" w:color="auto" w:fill="auto"/>
            <w:noWrap/>
            <w:hideMark/>
          </w:tcPr>
          <w:p w14:paraId="33C57A06"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3246</w:t>
            </w:r>
          </w:p>
        </w:tc>
        <w:tc>
          <w:tcPr>
            <w:tcW w:w="606" w:type="dxa"/>
            <w:tcBorders>
              <w:top w:val="nil"/>
              <w:left w:val="nil"/>
              <w:bottom w:val="nil"/>
              <w:right w:val="nil"/>
            </w:tcBorders>
            <w:shd w:val="clear" w:color="auto" w:fill="auto"/>
            <w:noWrap/>
            <w:hideMark/>
          </w:tcPr>
          <w:p w14:paraId="39E70009"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11</w:t>
            </w:r>
          </w:p>
        </w:tc>
        <w:tc>
          <w:tcPr>
            <w:tcW w:w="567" w:type="dxa"/>
            <w:tcBorders>
              <w:top w:val="nil"/>
              <w:left w:val="nil"/>
              <w:bottom w:val="nil"/>
              <w:right w:val="nil"/>
            </w:tcBorders>
            <w:shd w:val="clear" w:color="auto" w:fill="auto"/>
            <w:noWrap/>
            <w:hideMark/>
          </w:tcPr>
          <w:p w14:paraId="6DF93A86"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29</w:t>
            </w:r>
          </w:p>
        </w:tc>
        <w:tc>
          <w:tcPr>
            <w:tcW w:w="567" w:type="dxa"/>
            <w:tcBorders>
              <w:top w:val="nil"/>
              <w:left w:val="nil"/>
              <w:bottom w:val="nil"/>
              <w:right w:val="nil"/>
            </w:tcBorders>
            <w:shd w:val="clear" w:color="auto" w:fill="auto"/>
            <w:noWrap/>
            <w:hideMark/>
          </w:tcPr>
          <w:p w14:paraId="0D471E0B"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20</w:t>
            </w:r>
          </w:p>
        </w:tc>
        <w:tc>
          <w:tcPr>
            <w:tcW w:w="851" w:type="dxa"/>
            <w:tcBorders>
              <w:top w:val="nil"/>
              <w:left w:val="nil"/>
              <w:bottom w:val="nil"/>
              <w:right w:val="nil"/>
            </w:tcBorders>
            <w:shd w:val="clear" w:color="auto" w:fill="auto"/>
            <w:noWrap/>
            <w:hideMark/>
          </w:tcPr>
          <w:p w14:paraId="7C584D1B"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-4.35</w:t>
            </w:r>
          </w:p>
        </w:tc>
        <w:tc>
          <w:tcPr>
            <w:tcW w:w="1275" w:type="dxa"/>
            <w:tcBorders>
              <w:top w:val="nil"/>
              <w:left w:val="nil"/>
              <w:bottom w:val="nil"/>
              <w:right w:val="nil"/>
            </w:tcBorders>
            <w:shd w:val="clear" w:color="auto" w:fill="auto"/>
            <w:noWrap/>
            <w:hideMark/>
          </w:tcPr>
          <w:p w14:paraId="6292FF17"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4.31 x 10</w:t>
            </w:r>
            <w:r w:rsidRPr="00F224F6">
              <w:rPr>
                <w:rFonts w:ascii="Arial" w:eastAsia="Times New Roman" w:hAnsi="Arial" w:cs="Arial"/>
                <w:color w:val="000000"/>
                <w:sz w:val="22"/>
                <w:szCs w:val="22"/>
                <w:vertAlign w:val="superscript"/>
                <w:lang w:val="en-GB"/>
              </w:rPr>
              <w:t>-2</w:t>
            </w:r>
          </w:p>
        </w:tc>
      </w:tr>
      <w:tr w:rsidR="00F224F6" w:rsidRPr="00F224F6" w14:paraId="55A3F5DF" w14:textId="77777777" w:rsidTr="00F224F6">
        <w:trPr>
          <w:trHeight w:val="520"/>
        </w:trPr>
        <w:tc>
          <w:tcPr>
            <w:tcW w:w="1244" w:type="dxa"/>
            <w:tcBorders>
              <w:top w:val="nil"/>
              <w:left w:val="nil"/>
              <w:bottom w:val="nil"/>
              <w:right w:val="nil"/>
            </w:tcBorders>
            <w:shd w:val="clear" w:color="auto" w:fill="auto"/>
            <w:noWrap/>
            <w:hideMark/>
          </w:tcPr>
          <w:p w14:paraId="0A7905DF" w14:textId="77777777" w:rsidR="00F224F6" w:rsidRPr="00F224F6" w:rsidRDefault="00F224F6" w:rsidP="00F224F6">
            <w:pPr>
              <w:rPr>
                <w:rFonts w:ascii="Arial" w:eastAsia="Times New Roman" w:hAnsi="Arial" w:cs="Arial"/>
                <w:color w:val="000000"/>
                <w:sz w:val="22"/>
                <w:szCs w:val="22"/>
                <w:lang w:val="en-GB"/>
              </w:rPr>
            </w:pPr>
          </w:p>
        </w:tc>
        <w:tc>
          <w:tcPr>
            <w:tcW w:w="913" w:type="dxa"/>
            <w:tcBorders>
              <w:top w:val="nil"/>
              <w:left w:val="nil"/>
              <w:bottom w:val="nil"/>
              <w:right w:val="nil"/>
            </w:tcBorders>
            <w:shd w:val="clear" w:color="auto" w:fill="auto"/>
            <w:noWrap/>
            <w:hideMark/>
          </w:tcPr>
          <w:p w14:paraId="5FE2ECA3"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8</w:t>
            </w:r>
          </w:p>
        </w:tc>
        <w:tc>
          <w:tcPr>
            <w:tcW w:w="3584" w:type="dxa"/>
            <w:tcBorders>
              <w:top w:val="nil"/>
              <w:left w:val="nil"/>
              <w:bottom w:val="nil"/>
              <w:right w:val="nil"/>
            </w:tcBorders>
            <w:shd w:val="clear" w:color="auto" w:fill="auto"/>
            <w:vAlign w:val="center"/>
            <w:hideMark/>
          </w:tcPr>
          <w:p w14:paraId="1F9D2500" w14:textId="77777777" w:rsidR="00F224F6" w:rsidRPr="00F224F6" w:rsidRDefault="00F224F6" w:rsidP="00F224F6">
            <w:pP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fusiform gyrus, inferior temporal gyru</w:t>
            </w:r>
          </w:p>
        </w:tc>
        <w:tc>
          <w:tcPr>
            <w:tcW w:w="657" w:type="dxa"/>
            <w:tcBorders>
              <w:top w:val="nil"/>
              <w:left w:val="nil"/>
              <w:bottom w:val="nil"/>
              <w:right w:val="nil"/>
            </w:tcBorders>
            <w:shd w:val="clear" w:color="auto" w:fill="auto"/>
            <w:noWrap/>
            <w:hideMark/>
          </w:tcPr>
          <w:p w14:paraId="6AA1272C"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R</w:t>
            </w:r>
          </w:p>
        </w:tc>
        <w:tc>
          <w:tcPr>
            <w:tcW w:w="982" w:type="dxa"/>
            <w:tcBorders>
              <w:top w:val="nil"/>
              <w:left w:val="nil"/>
              <w:bottom w:val="nil"/>
              <w:right w:val="nil"/>
            </w:tcBorders>
            <w:shd w:val="clear" w:color="auto" w:fill="auto"/>
            <w:noWrap/>
            <w:hideMark/>
          </w:tcPr>
          <w:p w14:paraId="4368A956"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36/37</w:t>
            </w:r>
          </w:p>
        </w:tc>
        <w:tc>
          <w:tcPr>
            <w:tcW w:w="1243" w:type="dxa"/>
            <w:tcBorders>
              <w:top w:val="nil"/>
              <w:left w:val="nil"/>
              <w:bottom w:val="nil"/>
              <w:right w:val="nil"/>
            </w:tcBorders>
            <w:shd w:val="clear" w:color="auto" w:fill="auto"/>
            <w:noWrap/>
            <w:hideMark/>
          </w:tcPr>
          <w:p w14:paraId="213526BB"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2619</w:t>
            </w:r>
          </w:p>
        </w:tc>
        <w:tc>
          <w:tcPr>
            <w:tcW w:w="606" w:type="dxa"/>
            <w:tcBorders>
              <w:top w:val="nil"/>
              <w:left w:val="nil"/>
              <w:bottom w:val="nil"/>
              <w:right w:val="nil"/>
            </w:tcBorders>
            <w:shd w:val="clear" w:color="auto" w:fill="auto"/>
            <w:noWrap/>
            <w:hideMark/>
          </w:tcPr>
          <w:p w14:paraId="0F1B8949"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46</w:t>
            </w:r>
          </w:p>
        </w:tc>
        <w:tc>
          <w:tcPr>
            <w:tcW w:w="567" w:type="dxa"/>
            <w:tcBorders>
              <w:top w:val="nil"/>
              <w:left w:val="nil"/>
              <w:bottom w:val="nil"/>
              <w:right w:val="nil"/>
            </w:tcBorders>
            <w:shd w:val="clear" w:color="auto" w:fill="auto"/>
            <w:noWrap/>
            <w:hideMark/>
          </w:tcPr>
          <w:p w14:paraId="2E6E7596"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-60</w:t>
            </w:r>
          </w:p>
        </w:tc>
        <w:tc>
          <w:tcPr>
            <w:tcW w:w="567" w:type="dxa"/>
            <w:tcBorders>
              <w:top w:val="nil"/>
              <w:left w:val="nil"/>
              <w:bottom w:val="nil"/>
              <w:right w:val="nil"/>
            </w:tcBorders>
            <w:shd w:val="clear" w:color="auto" w:fill="auto"/>
            <w:noWrap/>
            <w:hideMark/>
          </w:tcPr>
          <w:p w14:paraId="5EA1BA95"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-2</w:t>
            </w:r>
          </w:p>
        </w:tc>
        <w:tc>
          <w:tcPr>
            <w:tcW w:w="851" w:type="dxa"/>
            <w:tcBorders>
              <w:top w:val="nil"/>
              <w:left w:val="nil"/>
              <w:bottom w:val="nil"/>
              <w:right w:val="nil"/>
            </w:tcBorders>
            <w:shd w:val="clear" w:color="auto" w:fill="auto"/>
            <w:noWrap/>
            <w:hideMark/>
          </w:tcPr>
          <w:p w14:paraId="7D7FBDB7"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-4.44</w:t>
            </w:r>
          </w:p>
        </w:tc>
        <w:tc>
          <w:tcPr>
            <w:tcW w:w="1275" w:type="dxa"/>
            <w:tcBorders>
              <w:top w:val="nil"/>
              <w:left w:val="nil"/>
              <w:bottom w:val="nil"/>
              <w:right w:val="nil"/>
            </w:tcBorders>
            <w:shd w:val="clear" w:color="auto" w:fill="auto"/>
            <w:noWrap/>
            <w:hideMark/>
          </w:tcPr>
          <w:p w14:paraId="289E22A6"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4.88 x 10</w:t>
            </w:r>
            <w:r w:rsidRPr="00F224F6">
              <w:rPr>
                <w:rFonts w:ascii="Arial" w:eastAsia="Times New Roman" w:hAnsi="Arial" w:cs="Arial"/>
                <w:color w:val="000000"/>
                <w:sz w:val="22"/>
                <w:szCs w:val="22"/>
                <w:vertAlign w:val="superscript"/>
                <w:lang w:val="en-GB"/>
              </w:rPr>
              <w:t>-2</w:t>
            </w:r>
          </w:p>
        </w:tc>
      </w:tr>
      <w:tr w:rsidR="00F224F6" w:rsidRPr="00F224F6" w14:paraId="2B8AFD2F" w14:textId="77777777" w:rsidTr="00F224F6">
        <w:trPr>
          <w:trHeight w:val="260"/>
        </w:trPr>
        <w:tc>
          <w:tcPr>
            <w:tcW w:w="1244" w:type="dxa"/>
            <w:tcBorders>
              <w:top w:val="nil"/>
              <w:left w:val="nil"/>
              <w:bottom w:val="single" w:sz="4" w:space="0" w:color="auto"/>
              <w:right w:val="nil"/>
            </w:tcBorders>
            <w:shd w:val="clear" w:color="auto" w:fill="auto"/>
            <w:noWrap/>
            <w:vAlign w:val="bottom"/>
            <w:hideMark/>
          </w:tcPr>
          <w:p w14:paraId="0E1C555D" w14:textId="77777777" w:rsidR="00F224F6" w:rsidRPr="00F224F6" w:rsidRDefault="00F224F6" w:rsidP="00F224F6">
            <w:pP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 </w:t>
            </w:r>
          </w:p>
        </w:tc>
        <w:tc>
          <w:tcPr>
            <w:tcW w:w="913" w:type="dxa"/>
            <w:tcBorders>
              <w:top w:val="nil"/>
              <w:left w:val="nil"/>
              <w:bottom w:val="single" w:sz="4" w:space="0" w:color="auto"/>
              <w:right w:val="nil"/>
            </w:tcBorders>
            <w:shd w:val="clear" w:color="auto" w:fill="auto"/>
            <w:noWrap/>
            <w:vAlign w:val="bottom"/>
            <w:hideMark/>
          </w:tcPr>
          <w:p w14:paraId="70039318" w14:textId="77777777" w:rsidR="00F224F6" w:rsidRPr="00F224F6" w:rsidRDefault="00F224F6" w:rsidP="00F224F6">
            <w:pPr>
              <w:jc w:val="cente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 </w:t>
            </w:r>
          </w:p>
        </w:tc>
        <w:tc>
          <w:tcPr>
            <w:tcW w:w="3584" w:type="dxa"/>
            <w:tcBorders>
              <w:top w:val="nil"/>
              <w:left w:val="nil"/>
              <w:bottom w:val="single" w:sz="4" w:space="0" w:color="auto"/>
              <w:right w:val="nil"/>
            </w:tcBorders>
            <w:shd w:val="clear" w:color="auto" w:fill="auto"/>
            <w:noWrap/>
            <w:vAlign w:val="bottom"/>
            <w:hideMark/>
          </w:tcPr>
          <w:p w14:paraId="542EF667" w14:textId="77777777" w:rsidR="00F224F6" w:rsidRPr="00F224F6" w:rsidRDefault="00F224F6" w:rsidP="00F224F6">
            <w:pP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 </w:t>
            </w:r>
          </w:p>
        </w:tc>
        <w:tc>
          <w:tcPr>
            <w:tcW w:w="657" w:type="dxa"/>
            <w:tcBorders>
              <w:top w:val="nil"/>
              <w:left w:val="nil"/>
              <w:bottom w:val="single" w:sz="4" w:space="0" w:color="auto"/>
              <w:right w:val="nil"/>
            </w:tcBorders>
            <w:shd w:val="clear" w:color="auto" w:fill="auto"/>
            <w:noWrap/>
            <w:vAlign w:val="bottom"/>
            <w:hideMark/>
          </w:tcPr>
          <w:p w14:paraId="28AFC2D5" w14:textId="77777777" w:rsidR="00F224F6" w:rsidRPr="00F224F6" w:rsidRDefault="00F224F6" w:rsidP="00F224F6">
            <w:pP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 </w:t>
            </w:r>
          </w:p>
        </w:tc>
        <w:tc>
          <w:tcPr>
            <w:tcW w:w="982" w:type="dxa"/>
            <w:tcBorders>
              <w:top w:val="nil"/>
              <w:left w:val="nil"/>
              <w:bottom w:val="single" w:sz="4" w:space="0" w:color="auto"/>
              <w:right w:val="nil"/>
            </w:tcBorders>
            <w:shd w:val="clear" w:color="auto" w:fill="auto"/>
            <w:noWrap/>
            <w:vAlign w:val="bottom"/>
            <w:hideMark/>
          </w:tcPr>
          <w:p w14:paraId="79D2310E" w14:textId="77777777" w:rsidR="00F224F6" w:rsidRPr="00F224F6" w:rsidRDefault="00F224F6" w:rsidP="00F224F6">
            <w:pP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 </w:t>
            </w:r>
          </w:p>
        </w:tc>
        <w:tc>
          <w:tcPr>
            <w:tcW w:w="1243" w:type="dxa"/>
            <w:tcBorders>
              <w:top w:val="nil"/>
              <w:left w:val="nil"/>
              <w:bottom w:val="single" w:sz="4" w:space="0" w:color="auto"/>
              <w:right w:val="nil"/>
            </w:tcBorders>
            <w:shd w:val="clear" w:color="auto" w:fill="auto"/>
            <w:noWrap/>
            <w:vAlign w:val="bottom"/>
            <w:hideMark/>
          </w:tcPr>
          <w:p w14:paraId="0FB0D176" w14:textId="77777777" w:rsidR="00F224F6" w:rsidRPr="00F224F6" w:rsidRDefault="00F224F6" w:rsidP="00F224F6">
            <w:pP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 </w:t>
            </w:r>
          </w:p>
        </w:tc>
        <w:tc>
          <w:tcPr>
            <w:tcW w:w="606" w:type="dxa"/>
            <w:tcBorders>
              <w:top w:val="nil"/>
              <w:left w:val="nil"/>
              <w:bottom w:val="single" w:sz="4" w:space="0" w:color="auto"/>
              <w:right w:val="nil"/>
            </w:tcBorders>
            <w:shd w:val="clear" w:color="auto" w:fill="auto"/>
            <w:noWrap/>
            <w:vAlign w:val="bottom"/>
            <w:hideMark/>
          </w:tcPr>
          <w:p w14:paraId="0D605A96" w14:textId="77777777" w:rsidR="00F224F6" w:rsidRPr="00F224F6" w:rsidRDefault="00F224F6" w:rsidP="00F224F6">
            <w:pP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 </w:t>
            </w:r>
          </w:p>
        </w:tc>
        <w:tc>
          <w:tcPr>
            <w:tcW w:w="567" w:type="dxa"/>
            <w:tcBorders>
              <w:top w:val="nil"/>
              <w:left w:val="nil"/>
              <w:bottom w:val="single" w:sz="4" w:space="0" w:color="auto"/>
              <w:right w:val="nil"/>
            </w:tcBorders>
            <w:shd w:val="clear" w:color="auto" w:fill="auto"/>
            <w:noWrap/>
            <w:vAlign w:val="bottom"/>
            <w:hideMark/>
          </w:tcPr>
          <w:p w14:paraId="447FE13E" w14:textId="77777777" w:rsidR="00F224F6" w:rsidRPr="00F224F6" w:rsidRDefault="00F224F6" w:rsidP="00F224F6">
            <w:pP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 </w:t>
            </w:r>
          </w:p>
        </w:tc>
        <w:tc>
          <w:tcPr>
            <w:tcW w:w="567" w:type="dxa"/>
            <w:tcBorders>
              <w:top w:val="nil"/>
              <w:left w:val="nil"/>
              <w:bottom w:val="single" w:sz="4" w:space="0" w:color="auto"/>
              <w:right w:val="nil"/>
            </w:tcBorders>
            <w:shd w:val="clear" w:color="auto" w:fill="auto"/>
            <w:noWrap/>
            <w:vAlign w:val="bottom"/>
            <w:hideMark/>
          </w:tcPr>
          <w:p w14:paraId="78F0DC90" w14:textId="77777777" w:rsidR="00F224F6" w:rsidRPr="00F224F6" w:rsidRDefault="00F224F6" w:rsidP="00F224F6">
            <w:pP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 </w:t>
            </w:r>
          </w:p>
        </w:tc>
        <w:tc>
          <w:tcPr>
            <w:tcW w:w="851" w:type="dxa"/>
            <w:tcBorders>
              <w:top w:val="nil"/>
              <w:left w:val="nil"/>
              <w:bottom w:val="single" w:sz="4" w:space="0" w:color="auto"/>
              <w:right w:val="nil"/>
            </w:tcBorders>
            <w:shd w:val="clear" w:color="auto" w:fill="auto"/>
            <w:noWrap/>
            <w:vAlign w:val="bottom"/>
            <w:hideMark/>
          </w:tcPr>
          <w:p w14:paraId="4B4A86BC" w14:textId="77777777" w:rsidR="00F224F6" w:rsidRPr="00F224F6" w:rsidRDefault="00F224F6" w:rsidP="00F224F6">
            <w:pP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 </w:t>
            </w:r>
          </w:p>
        </w:tc>
        <w:tc>
          <w:tcPr>
            <w:tcW w:w="1275" w:type="dxa"/>
            <w:tcBorders>
              <w:top w:val="nil"/>
              <w:left w:val="nil"/>
              <w:bottom w:val="single" w:sz="4" w:space="0" w:color="auto"/>
              <w:right w:val="nil"/>
            </w:tcBorders>
            <w:shd w:val="clear" w:color="auto" w:fill="auto"/>
            <w:noWrap/>
            <w:vAlign w:val="bottom"/>
            <w:hideMark/>
          </w:tcPr>
          <w:p w14:paraId="051FAF0B" w14:textId="77777777" w:rsidR="00F224F6" w:rsidRPr="00F224F6" w:rsidRDefault="00F224F6" w:rsidP="00F224F6">
            <w:pPr>
              <w:rPr>
                <w:rFonts w:ascii="Arial" w:eastAsia="Times New Roman" w:hAnsi="Arial" w:cs="Arial"/>
                <w:color w:val="000000"/>
                <w:sz w:val="22"/>
                <w:szCs w:val="22"/>
                <w:lang w:val="en-GB"/>
              </w:rPr>
            </w:pPr>
            <w:r w:rsidRPr="00F224F6">
              <w:rPr>
                <w:rFonts w:ascii="Arial" w:eastAsia="Times New Roman" w:hAnsi="Arial" w:cs="Arial"/>
                <w:color w:val="000000"/>
                <w:sz w:val="22"/>
                <w:szCs w:val="22"/>
                <w:lang w:val="en-GB"/>
              </w:rPr>
              <w:t> </w:t>
            </w:r>
          </w:p>
        </w:tc>
      </w:tr>
      <w:tr w:rsidR="00F224F6" w:rsidRPr="00F224F6" w14:paraId="711ACA7E" w14:textId="77777777" w:rsidTr="00F224F6">
        <w:trPr>
          <w:trHeight w:val="960"/>
        </w:trPr>
        <w:tc>
          <w:tcPr>
            <w:tcW w:w="12489" w:type="dxa"/>
            <w:gridSpan w:val="11"/>
            <w:tcBorders>
              <w:top w:val="single" w:sz="4" w:space="0" w:color="auto"/>
              <w:left w:val="nil"/>
              <w:bottom w:val="nil"/>
              <w:right w:val="nil"/>
            </w:tcBorders>
            <w:shd w:val="clear" w:color="auto" w:fill="auto"/>
            <w:hideMark/>
          </w:tcPr>
          <w:p w14:paraId="0E1FB2CB" w14:textId="77777777" w:rsidR="00F224F6" w:rsidRPr="00F224F6" w:rsidRDefault="00F224F6" w:rsidP="00F224F6">
            <w:pPr>
              <w:rPr>
                <w:rFonts w:ascii="Arial" w:eastAsia="Times New Roman" w:hAnsi="Arial" w:cs="Arial"/>
                <w:color w:val="000000"/>
                <w:sz w:val="22"/>
                <w:szCs w:val="22"/>
                <w:lang w:val="en-GB"/>
              </w:rPr>
            </w:pPr>
            <w:r w:rsidRPr="00F224F6">
              <w:rPr>
                <w:rFonts w:ascii="Arial" w:eastAsia="Times New Roman" w:hAnsi="Arial" w:cs="Arial"/>
                <w:i/>
                <w:iCs/>
                <w:color w:val="000000"/>
                <w:sz w:val="22"/>
                <w:szCs w:val="22"/>
                <w:lang w:val="en-GB"/>
              </w:rPr>
              <w:t>Note.</w:t>
            </w:r>
            <w:r w:rsidRPr="00F224F6">
              <w:rPr>
                <w:rFonts w:ascii="Arial" w:eastAsia="Times New Roman" w:hAnsi="Arial" w:cs="Arial"/>
                <w:color w:val="000000"/>
                <w:sz w:val="22"/>
                <w:szCs w:val="22"/>
                <w:lang w:val="en-GB"/>
              </w:rPr>
              <w:t xml:space="preserve"> Abbreviations: </w:t>
            </w:r>
            <w:r w:rsidRPr="00F224F6">
              <w:rPr>
                <w:rFonts w:ascii="Arial" w:eastAsia="Times New Roman" w:hAnsi="Arial" w:cs="Arial"/>
                <w:color w:val="000000"/>
                <w:sz w:val="22"/>
                <w:szCs w:val="22"/>
                <w:vertAlign w:val="superscript"/>
                <w:lang w:val="en-GB"/>
              </w:rPr>
              <w:t>a</w:t>
            </w:r>
            <w:r w:rsidRPr="00F224F6">
              <w:rPr>
                <w:rFonts w:ascii="Arial" w:eastAsia="Times New Roman" w:hAnsi="Arial" w:cs="Arial"/>
                <w:color w:val="000000"/>
                <w:sz w:val="22"/>
                <w:szCs w:val="22"/>
                <w:lang w:val="en-GB"/>
              </w:rPr>
              <w:t xml:space="preserve"> = first area listed belongs to t</w:t>
            </w:r>
            <w:r w:rsidRPr="00F224F6">
              <w:rPr>
                <w:rFonts w:ascii="Arial" w:eastAsia="Times New Roman" w:hAnsi="Arial" w:cs="Arial"/>
                <w:color w:val="000000"/>
                <w:sz w:val="22"/>
                <w:szCs w:val="22"/>
                <w:vertAlign w:val="subscript"/>
                <w:lang w:val="en-GB"/>
              </w:rPr>
              <w:t>max</w:t>
            </w:r>
            <w:r w:rsidRPr="00F224F6">
              <w:rPr>
                <w:rFonts w:ascii="Arial" w:eastAsia="Times New Roman" w:hAnsi="Arial" w:cs="Arial"/>
                <w:color w:val="000000"/>
                <w:sz w:val="22"/>
                <w:szCs w:val="22"/>
                <w:lang w:val="en-GB"/>
              </w:rPr>
              <w:t xml:space="preserve"> and cluster extends into following areas listed; BA = Brodman Area; t</w:t>
            </w:r>
            <w:r w:rsidRPr="00F224F6">
              <w:rPr>
                <w:rFonts w:ascii="Arial" w:eastAsia="Times New Roman" w:hAnsi="Arial" w:cs="Arial"/>
                <w:color w:val="000000"/>
                <w:sz w:val="22"/>
                <w:szCs w:val="22"/>
                <w:vertAlign w:val="subscript"/>
                <w:lang w:val="en-GB"/>
              </w:rPr>
              <w:t>max</w:t>
            </w:r>
            <w:r w:rsidRPr="00F224F6">
              <w:rPr>
                <w:rFonts w:ascii="Arial" w:eastAsia="Times New Roman" w:hAnsi="Arial" w:cs="Arial"/>
                <w:color w:val="000000"/>
                <w:sz w:val="22"/>
                <w:szCs w:val="22"/>
                <w:lang w:val="en-GB"/>
              </w:rPr>
              <w:t xml:space="preserve"> = maximum absolute t value (corrected for multiple comparisons); x,y,z, = Talairach coordinates at t</w:t>
            </w:r>
            <w:r w:rsidRPr="00F224F6">
              <w:rPr>
                <w:rFonts w:ascii="Arial" w:eastAsia="Times New Roman" w:hAnsi="Arial" w:cs="Arial"/>
                <w:color w:val="000000"/>
                <w:sz w:val="22"/>
                <w:szCs w:val="22"/>
                <w:vertAlign w:val="subscript"/>
                <w:lang w:val="en-GB"/>
              </w:rPr>
              <w:t>max</w:t>
            </w:r>
            <w:r w:rsidRPr="00F224F6">
              <w:rPr>
                <w:rFonts w:ascii="Arial" w:eastAsia="Times New Roman" w:hAnsi="Arial" w:cs="Arial"/>
                <w:color w:val="000000"/>
                <w:sz w:val="22"/>
                <w:szCs w:val="22"/>
                <w:lang w:val="en-GB"/>
              </w:rPr>
              <w:t>; p</w:t>
            </w:r>
            <w:r w:rsidRPr="00F224F6">
              <w:rPr>
                <w:rFonts w:ascii="Arial" w:eastAsia="Times New Roman" w:hAnsi="Arial" w:cs="Arial"/>
                <w:color w:val="000000"/>
                <w:sz w:val="22"/>
                <w:szCs w:val="22"/>
                <w:vertAlign w:val="subscript"/>
                <w:lang w:val="en-GB"/>
              </w:rPr>
              <w:t>cluster</w:t>
            </w:r>
            <w:r w:rsidRPr="00F224F6">
              <w:rPr>
                <w:rFonts w:ascii="Arial" w:eastAsia="Times New Roman" w:hAnsi="Arial" w:cs="Arial"/>
                <w:color w:val="000000"/>
                <w:sz w:val="22"/>
                <w:szCs w:val="22"/>
                <w:lang w:val="en-GB"/>
              </w:rPr>
              <w:t xml:space="preserve"> = cluster probability; DID = Dissociative Identity Disorder; R = right; L = left</w:t>
            </w:r>
          </w:p>
        </w:tc>
      </w:tr>
    </w:tbl>
    <w:p w14:paraId="076C557C" w14:textId="6DC4A515" w:rsidR="00F638BC" w:rsidRDefault="00F638BC" w:rsidP="00A263E5">
      <w:pPr>
        <w:spacing w:line="360" w:lineRule="auto"/>
        <w:rPr>
          <w:rFonts w:ascii="Arial" w:hAnsi="Arial" w:cs="Arial"/>
          <w:sz w:val="22"/>
          <w:szCs w:val="22"/>
        </w:rPr>
      </w:pPr>
    </w:p>
    <w:p w14:paraId="3919600B" w14:textId="77777777" w:rsidR="00F638BC" w:rsidRPr="00295F63" w:rsidRDefault="00F638BC" w:rsidP="00A263E5">
      <w:pPr>
        <w:spacing w:line="360" w:lineRule="auto"/>
        <w:rPr>
          <w:rFonts w:ascii="Arial" w:hAnsi="Arial" w:cs="Arial"/>
          <w:sz w:val="22"/>
          <w:szCs w:val="22"/>
        </w:rPr>
      </w:pPr>
      <w:r>
        <w:rPr>
          <w:rFonts w:ascii="Arial" w:hAnsi="Arial" w:cs="Arial"/>
          <w:sz w:val="22"/>
          <w:szCs w:val="22"/>
        </w:rPr>
        <w:br w:type="column"/>
      </w:r>
    </w:p>
    <w:tbl>
      <w:tblPr>
        <w:tblW w:w="7520" w:type="dxa"/>
        <w:tblInd w:w="93" w:type="dxa"/>
        <w:tblLook w:val="04A0" w:firstRow="1" w:lastRow="0" w:firstColumn="1" w:lastColumn="0" w:noHBand="0" w:noVBand="1"/>
      </w:tblPr>
      <w:tblGrid>
        <w:gridCol w:w="1725"/>
        <w:gridCol w:w="1791"/>
        <w:gridCol w:w="1862"/>
        <w:gridCol w:w="2142"/>
      </w:tblGrid>
      <w:tr w:rsidR="00F638BC" w:rsidRPr="00F638BC" w14:paraId="486A9727" w14:textId="77777777" w:rsidTr="00F638BC">
        <w:trPr>
          <w:trHeight w:val="980"/>
        </w:trPr>
        <w:tc>
          <w:tcPr>
            <w:tcW w:w="7520" w:type="dxa"/>
            <w:gridSpan w:val="4"/>
            <w:tcBorders>
              <w:top w:val="nil"/>
              <w:left w:val="nil"/>
              <w:bottom w:val="single" w:sz="4" w:space="0" w:color="auto"/>
              <w:right w:val="nil"/>
            </w:tcBorders>
            <w:shd w:val="clear" w:color="auto" w:fill="auto"/>
            <w:vAlign w:val="center"/>
            <w:hideMark/>
          </w:tcPr>
          <w:p w14:paraId="1D8668AE" w14:textId="01124D42" w:rsidR="00F638BC" w:rsidRPr="00F638BC" w:rsidRDefault="00F638BC" w:rsidP="00F638BC">
            <w:pPr>
              <w:rPr>
                <w:rFonts w:ascii="Arial" w:eastAsia="Times New Roman" w:hAnsi="Arial" w:cs="Arial"/>
                <w:b/>
                <w:bCs/>
                <w:color w:val="000000"/>
                <w:sz w:val="22"/>
                <w:szCs w:val="22"/>
                <w:lang w:val="en-GB"/>
              </w:rPr>
            </w:pPr>
            <w:r w:rsidRPr="00F638BC">
              <w:rPr>
                <w:rFonts w:ascii="Arial" w:eastAsia="Times New Roman" w:hAnsi="Arial" w:cs="Arial"/>
                <w:b/>
                <w:bCs/>
                <w:color w:val="000000"/>
                <w:sz w:val="22"/>
                <w:szCs w:val="22"/>
                <w:lang w:val="en-GB"/>
              </w:rPr>
              <w:t xml:space="preserve">Table </w:t>
            </w:r>
            <w:r w:rsidR="0070710F">
              <w:rPr>
                <w:rFonts w:ascii="Arial" w:eastAsia="Times New Roman" w:hAnsi="Arial" w:cs="Arial"/>
                <w:b/>
                <w:bCs/>
                <w:color w:val="000000"/>
                <w:sz w:val="22"/>
                <w:szCs w:val="22"/>
                <w:lang w:val="en-GB"/>
              </w:rPr>
              <w:t>4</w:t>
            </w:r>
            <w:r w:rsidRPr="00F638BC">
              <w:rPr>
                <w:rFonts w:ascii="Arial" w:eastAsia="Times New Roman" w:hAnsi="Arial" w:cs="Arial"/>
                <w:b/>
                <w:bCs/>
                <w:color w:val="000000"/>
                <w:sz w:val="22"/>
                <w:szCs w:val="22"/>
                <w:lang w:val="en-GB"/>
              </w:rPr>
              <w:t xml:space="preserve">: </w:t>
            </w:r>
            <w:r w:rsidRPr="00F638BC">
              <w:rPr>
                <w:rFonts w:ascii="Arial" w:eastAsia="Times New Roman" w:hAnsi="Arial" w:cs="Arial"/>
                <w:color w:val="000000"/>
                <w:sz w:val="22"/>
                <w:szCs w:val="22"/>
                <w:lang w:val="en-GB"/>
              </w:rPr>
              <w:t>Spatial overlap between differences in cortical thickness and surface area, and relative contribution of differences in cortical thickness and surface area to differences in cortical volume</w:t>
            </w:r>
            <w:r>
              <w:rPr>
                <w:rFonts w:ascii="Arial" w:eastAsia="Times New Roman" w:hAnsi="Arial" w:cs="Arial"/>
                <w:color w:val="000000"/>
                <w:sz w:val="22"/>
                <w:szCs w:val="22"/>
                <w:lang w:val="en-GB"/>
              </w:rPr>
              <w:t>.</w:t>
            </w:r>
          </w:p>
        </w:tc>
      </w:tr>
      <w:tr w:rsidR="00F638BC" w:rsidRPr="00F638BC" w14:paraId="4F7AEBF3" w14:textId="77777777" w:rsidTr="00F638BC">
        <w:trPr>
          <w:trHeight w:val="280"/>
        </w:trPr>
        <w:tc>
          <w:tcPr>
            <w:tcW w:w="1725" w:type="dxa"/>
            <w:tcBorders>
              <w:top w:val="nil"/>
              <w:left w:val="nil"/>
              <w:bottom w:val="nil"/>
              <w:right w:val="nil"/>
            </w:tcBorders>
            <w:shd w:val="clear" w:color="auto" w:fill="auto"/>
            <w:noWrap/>
            <w:vAlign w:val="bottom"/>
            <w:hideMark/>
          </w:tcPr>
          <w:p w14:paraId="3C3598FF" w14:textId="77777777" w:rsidR="00F638BC" w:rsidRPr="00F638BC" w:rsidRDefault="00F638BC" w:rsidP="00F638BC">
            <w:pPr>
              <w:rPr>
                <w:rFonts w:ascii="Arial" w:eastAsia="Times New Roman" w:hAnsi="Arial" w:cs="Arial"/>
                <w:color w:val="000000"/>
                <w:sz w:val="22"/>
                <w:szCs w:val="22"/>
                <w:lang w:val="en-GB"/>
              </w:rPr>
            </w:pPr>
            <w:r w:rsidRPr="00F638BC">
              <w:rPr>
                <w:rFonts w:ascii="Arial" w:eastAsia="Times New Roman" w:hAnsi="Arial" w:cs="Arial"/>
                <w:color w:val="000000"/>
                <w:sz w:val="22"/>
                <w:szCs w:val="22"/>
                <w:lang w:val="en-GB"/>
              </w:rPr>
              <w:t> </w:t>
            </w:r>
          </w:p>
        </w:tc>
        <w:tc>
          <w:tcPr>
            <w:tcW w:w="5795" w:type="dxa"/>
            <w:gridSpan w:val="3"/>
            <w:tcBorders>
              <w:top w:val="single" w:sz="4" w:space="0" w:color="auto"/>
              <w:left w:val="nil"/>
              <w:bottom w:val="single" w:sz="4" w:space="0" w:color="auto"/>
              <w:right w:val="nil"/>
            </w:tcBorders>
            <w:shd w:val="clear" w:color="auto" w:fill="auto"/>
            <w:noWrap/>
            <w:vAlign w:val="bottom"/>
            <w:hideMark/>
          </w:tcPr>
          <w:p w14:paraId="6F3B42B4" w14:textId="77777777" w:rsidR="00F638BC" w:rsidRPr="00F638BC" w:rsidRDefault="00F638BC" w:rsidP="00F638BC">
            <w:pPr>
              <w:jc w:val="center"/>
              <w:rPr>
                <w:rFonts w:ascii="Arial" w:eastAsia="Times New Roman" w:hAnsi="Arial" w:cs="Arial"/>
                <w:color w:val="000000"/>
                <w:sz w:val="22"/>
                <w:szCs w:val="22"/>
                <w:lang w:val="en-GB"/>
              </w:rPr>
            </w:pPr>
            <w:r w:rsidRPr="00F638BC">
              <w:rPr>
                <w:rFonts w:ascii="Arial" w:eastAsia="Times New Roman" w:hAnsi="Arial" w:cs="Arial"/>
                <w:color w:val="000000"/>
                <w:sz w:val="22"/>
                <w:szCs w:val="22"/>
                <w:lang w:val="en-GB"/>
              </w:rPr>
              <w:t>Number of vertices  (%)</w:t>
            </w:r>
            <w:r w:rsidRPr="00F638BC">
              <w:rPr>
                <w:rFonts w:ascii="Arial" w:eastAsia="Times New Roman" w:hAnsi="Arial" w:cs="Arial"/>
                <w:color w:val="000000"/>
                <w:sz w:val="22"/>
                <w:szCs w:val="22"/>
                <w:vertAlign w:val="superscript"/>
                <w:lang w:val="en-GB"/>
              </w:rPr>
              <w:t>a</w:t>
            </w:r>
          </w:p>
        </w:tc>
      </w:tr>
      <w:tr w:rsidR="00F638BC" w:rsidRPr="00F638BC" w14:paraId="144547CA" w14:textId="77777777" w:rsidTr="00F638BC">
        <w:trPr>
          <w:trHeight w:val="260"/>
        </w:trPr>
        <w:tc>
          <w:tcPr>
            <w:tcW w:w="1725" w:type="dxa"/>
            <w:tcBorders>
              <w:top w:val="nil"/>
              <w:left w:val="nil"/>
              <w:bottom w:val="single" w:sz="4" w:space="0" w:color="auto"/>
              <w:right w:val="nil"/>
            </w:tcBorders>
            <w:shd w:val="clear" w:color="auto" w:fill="auto"/>
            <w:noWrap/>
            <w:vAlign w:val="bottom"/>
            <w:hideMark/>
          </w:tcPr>
          <w:p w14:paraId="39BAAD28" w14:textId="77777777" w:rsidR="00F638BC" w:rsidRPr="00F638BC" w:rsidRDefault="00F638BC" w:rsidP="00F638BC">
            <w:pPr>
              <w:rPr>
                <w:rFonts w:ascii="Arial" w:eastAsia="Times New Roman" w:hAnsi="Arial" w:cs="Arial"/>
                <w:color w:val="000000"/>
                <w:sz w:val="22"/>
                <w:szCs w:val="22"/>
                <w:lang w:val="en-GB"/>
              </w:rPr>
            </w:pPr>
            <w:r w:rsidRPr="00F638BC">
              <w:rPr>
                <w:rFonts w:ascii="Arial" w:eastAsia="Times New Roman" w:hAnsi="Arial" w:cs="Arial"/>
                <w:color w:val="000000"/>
                <w:sz w:val="22"/>
                <w:szCs w:val="22"/>
                <w:lang w:val="en-GB"/>
              </w:rPr>
              <w:t>Measure</w:t>
            </w:r>
          </w:p>
        </w:tc>
        <w:tc>
          <w:tcPr>
            <w:tcW w:w="1791" w:type="dxa"/>
            <w:tcBorders>
              <w:top w:val="nil"/>
              <w:left w:val="nil"/>
              <w:bottom w:val="single" w:sz="4" w:space="0" w:color="auto"/>
              <w:right w:val="nil"/>
            </w:tcBorders>
            <w:shd w:val="clear" w:color="auto" w:fill="auto"/>
            <w:noWrap/>
            <w:vAlign w:val="bottom"/>
            <w:hideMark/>
          </w:tcPr>
          <w:p w14:paraId="4991B63E" w14:textId="77777777" w:rsidR="00F638BC" w:rsidRPr="00F638BC" w:rsidRDefault="00F638BC" w:rsidP="00F638BC">
            <w:pPr>
              <w:jc w:val="center"/>
              <w:rPr>
                <w:rFonts w:ascii="Arial" w:eastAsia="Times New Roman" w:hAnsi="Arial" w:cs="Arial"/>
                <w:color w:val="000000"/>
                <w:sz w:val="22"/>
                <w:szCs w:val="22"/>
                <w:lang w:val="en-GB"/>
              </w:rPr>
            </w:pPr>
            <w:r w:rsidRPr="00F638BC">
              <w:rPr>
                <w:rFonts w:ascii="Arial" w:eastAsia="Times New Roman" w:hAnsi="Arial" w:cs="Arial"/>
                <w:color w:val="000000"/>
                <w:sz w:val="22"/>
                <w:szCs w:val="22"/>
                <w:lang w:val="en-GB"/>
              </w:rPr>
              <w:t>Left Hemisphere</w:t>
            </w:r>
          </w:p>
        </w:tc>
        <w:tc>
          <w:tcPr>
            <w:tcW w:w="1862" w:type="dxa"/>
            <w:tcBorders>
              <w:top w:val="nil"/>
              <w:left w:val="nil"/>
              <w:bottom w:val="single" w:sz="4" w:space="0" w:color="auto"/>
              <w:right w:val="nil"/>
            </w:tcBorders>
            <w:shd w:val="clear" w:color="auto" w:fill="auto"/>
            <w:noWrap/>
            <w:vAlign w:val="bottom"/>
            <w:hideMark/>
          </w:tcPr>
          <w:p w14:paraId="760932C6" w14:textId="77777777" w:rsidR="00F638BC" w:rsidRPr="00F638BC" w:rsidRDefault="00F638BC" w:rsidP="00F638BC">
            <w:pPr>
              <w:jc w:val="center"/>
              <w:rPr>
                <w:rFonts w:ascii="Arial" w:eastAsia="Times New Roman" w:hAnsi="Arial" w:cs="Arial"/>
                <w:color w:val="000000"/>
                <w:sz w:val="22"/>
                <w:szCs w:val="22"/>
                <w:lang w:val="en-GB"/>
              </w:rPr>
            </w:pPr>
            <w:r w:rsidRPr="00F638BC">
              <w:rPr>
                <w:rFonts w:ascii="Arial" w:eastAsia="Times New Roman" w:hAnsi="Arial" w:cs="Arial"/>
                <w:color w:val="000000"/>
                <w:sz w:val="22"/>
                <w:szCs w:val="22"/>
                <w:lang w:val="en-GB"/>
              </w:rPr>
              <w:t>Right Hemisphere</w:t>
            </w:r>
          </w:p>
        </w:tc>
        <w:tc>
          <w:tcPr>
            <w:tcW w:w="2142" w:type="dxa"/>
            <w:tcBorders>
              <w:top w:val="nil"/>
              <w:left w:val="nil"/>
              <w:bottom w:val="single" w:sz="4" w:space="0" w:color="auto"/>
              <w:right w:val="nil"/>
            </w:tcBorders>
            <w:shd w:val="clear" w:color="auto" w:fill="auto"/>
            <w:noWrap/>
            <w:vAlign w:val="bottom"/>
            <w:hideMark/>
          </w:tcPr>
          <w:p w14:paraId="59EDD65B" w14:textId="77777777" w:rsidR="00F638BC" w:rsidRPr="00F638BC" w:rsidRDefault="00F638BC" w:rsidP="00F638BC">
            <w:pPr>
              <w:jc w:val="center"/>
              <w:rPr>
                <w:rFonts w:ascii="Arial" w:eastAsia="Times New Roman" w:hAnsi="Arial" w:cs="Arial"/>
                <w:color w:val="000000"/>
                <w:sz w:val="22"/>
                <w:szCs w:val="22"/>
                <w:lang w:val="en-GB"/>
              </w:rPr>
            </w:pPr>
            <w:r w:rsidRPr="00F638BC">
              <w:rPr>
                <w:rFonts w:ascii="Arial" w:eastAsia="Times New Roman" w:hAnsi="Arial" w:cs="Arial"/>
                <w:color w:val="000000"/>
                <w:sz w:val="22"/>
                <w:szCs w:val="22"/>
                <w:lang w:val="en-GB"/>
              </w:rPr>
              <w:t>Across Hemispheres</w:t>
            </w:r>
          </w:p>
        </w:tc>
      </w:tr>
      <w:tr w:rsidR="00F638BC" w:rsidRPr="00F638BC" w14:paraId="0BBD57D8" w14:textId="77777777" w:rsidTr="00F638BC">
        <w:trPr>
          <w:trHeight w:val="260"/>
        </w:trPr>
        <w:tc>
          <w:tcPr>
            <w:tcW w:w="1725" w:type="dxa"/>
            <w:tcBorders>
              <w:top w:val="nil"/>
              <w:left w:val="nil"/>
              <w:bottom w:val="nil"/>
              <w:right w:val="nil"/>
            </w:tcBorders>
            <w:shd w:val="clear" w:color="auto" w:fill="auto"/>
            <w:noWrap/>
            <w:vAlign w:val="bottom"/>
            <w:hideMark/>
          </w:tcPr>
          <w:p w14:paraId="40DFC4FC" w14:textId="77777777" w:rsidR="00F638BC" w:rsidRPr="00F638BC" w:rsidRDefault="00F638BC" w:rsidP="00F638BC">
            <w:pPr>
              <w:rPr>
                <w:rFonts w:ascii="Arial" w:eastAsia="Times New Roman" w:hAnsi="Arial" w:cs="Arial"/>
                <w:color w:val="000000"/>
                <w:sz w:val="22"/>
                <w:szCs w:val="22"/>
                <w:lang w:val="en-GB"/>
              </w:rPr>
            </w:pPr>
          </w:p>
        </w:tc>
        <w:tc>
          <w:tcPr>
            <w:tcW w:w="1791" w:type="dxa"/>
            <w:tcBorders>
              <w:top w:val="nil"/>
              <w:left w:val="nil"/>
              <w:bottom w:val="nil"/>
              <w:right w:val="nil"/>
            </w:tcBorders>
            <w:shd w:val="clear" w:color="auto" w:fill="auto"/>
            <w:noWrap/>
            <w:vAlign w:val="bottom"/>
            <w:hideMark/>
          </w:tcPr>
          <w:p w14:paraId="6394BEA7" w14:textId="77777777" w:rsidR="00F638BC" w:rsidRPr="00F638BC" w:rsidRDefault="00F638BC" w:rsidP="00F638BC">
            <w:pPr>
              <w:jc w:val="center"/>
              <w:rPr>
                <w:rFonts w:ascii="Arial" w:eastAsia="Times New Roman" w:hAnsi="Arial" w:cs="Arial"/>
                <w:color w:val="000000"/>
                <w:sz w:val="22"/>
                <w:szCs w:val="22"/>
                <w:lang w:val="en-GB"/>
              </w:rPr>
            </w:pPr>
          </w:p>
        </w:tc>
        <w:tc>
          <w:tcPr>
            <w:tcW w:w="1862" w:type="dxa"/>
            <w:tcBorders>
              <w:top w:val="nil"/>
              <w:left w:val="nil"/>
              <w:bottom w:val="nil"/>
              <w:right w:val="nil"/>
            </w:tcBorders>
            <w:shd w:val="clear" w:color="auto" w:fill="auto"/>
            <w:noWrap/>
            <w:vAlign w:val="bottom"/>
            <w:hideMark/>
          </w:tcPr>
          <w:p w14:paraId="5C62F4F7" w14:textId="77777777" w:rsidR="00F638BC" w:rsidRPr="00F638BC" w:rsidRDefault="00F638BC" w:rsidP="00F638BC">
            <w:pPr>
              <w:jc w:val="center"/>
              <w:rPr>
                <w:rFonts w:ascii="Arial" w:eastAsia="Times New Roman" w:hAnsi="Arial" w:cs="Arial"/>
                <w:color w:val="000000"/>
                <w:sz w:val="22"/>
                <w:szCs w:val="22"/>
                <w:lang w:val="en-GB"/>
              </w:rPr>
            </w:pPr>
          </w:p>
        </w:tc>
        <w:tc>
          <w:tcPr>
            <w:tcW w:w="2142" w:type="dxa"/>
            <w:tcBorders>
              <w:top w:val="nil"/>
              <w:left w:val="nil"/>
              <w:bottom w:val="nil"/>
              <w:right w:val="nil"/>
            </w:tcBorders>
            <w:shd w:val="clear" w:color="auto" w:fill="auto"/>
            <w:noWrap/>
            <w:vAlign w:val="bottom"/>
            <w:hideMark/>
          </w:tcPr>
          <w:p w14:paraId="5B5CA1F0" w14:textId="77777777" w:rsidR="00F638BC" w:rsidRPr="00F638BC" w:rsidRDefault="00F638BC" w:rsidP="00F638BC">
            <w:pPr>
              <w:jc w:val="center"/>
              <w:rPr>
                <w:rFonts w:ascii="Arial" w:eastAsia="Times New Roman" w:hAnsi="Arial" w:cs="Arial"/>
                <w:color w:val="000000"/>
                <w:sz w:val="22"/>
                <w:szCs w:val="22"/>
                <w:lang w:val="en-GB"/>
              </w:rPr>
            </w:pPr>
          </w:p>
        </w:tc>
      </w:tr>
      <w:tr w:rsidR="00F638BC" w:rsidRPr="00F638BC" w14:paraId="30F408C1" w14:textId="77777777" w:rsidTr="00F638BC">
        <w:trPr>
          <w:trHeight w:val="260"/>
        </w:trPr>
        <w:tc>
          <w:tcPr>
            <w:tcW w:w="3516" w:type="dxa"/>
            <w:gridSpan w:val="2"/>
            <w:tcBorders>
              <w:top w:val="nil"/>
              <w:left w:val="nil"/>
              <w:bottom w:val="nil"/>
              <w:right w:val="nil"/>
            </w:tcBorders>
            <w:shd w:val="clear" w:color="auto" w:fill="auto"/>
            <w:vAlign w:val="bottom"/>
            <w:hideMark/>
          </w:tcPr>
          <w:p w14:paraId="79DFC345" w14:textId="77777777" w:rsidR="00F638BC" w:rsidRPr="00F638BC" w:rsidRDefault="00F638BC" w:rsidP="00F638BC">
            <w:pPr>
              <w:rPr>
                <w:rFonts w:ascii="Arial" w:eastAsia="Times New Roman" w:hAnsi="Arial" w:cs="Arial"/>
                <w:i/>
                <w:iCs/>
                <w:color w:val="000000"/>
                <w:sz w:val="22"/>
                <w:szCs w:val="22"/>
                <w:lang w:val="en-GB"/>
              </w:rPr>
            </w:pPr>
            <w:r w:rsidRPr="00F638BC">
              <w:rPr>
                <w:rFonts w:ascii="Arial" w:eastAsia="Times New Roman" w:hAnsi="Arial" w:cs="Arial"/>
                <w:i/>
                <w:iCs/>
                <w:color w:val="000000"/>
                <w:sz w:val="22"/>
                <w:szCs w:val="22"/>
                <w:lang w:val="en-GB"/>
              </w:rPr>
              <w:t>Overlap CT and SA</w:t>
            </w:r>
          </w:p>
        </w:tc>
        <w:tc>
          <w:tcPr>
            <w:tcW w:w="1862" w:type="dxa"/>
            <w:tcBorders>
              <w:top w:val="nil"/>
              <w:left w:val="nil"/>
              <w:bottom w:val="nil"/>
              <w:right w:val="nil"/>
            </w:tcBorders>
            <w:shd w:val="clear" w:color="auto" w:fill="auto"/>
            <w:noWrap/>
            <w:vAlign w:val="bottom"/>
            <w:hideMark/>
          </w:tcPr>
          <w:p w14:paraId="18532B0D" w14:textId="77777777" w:rsidR="00F638BC" w:rsidRPr="00F638BC" w:rsidRDefault="00F638BC" w:rsidP="00F638BC">
            <w:pPr>
              <w:jc w:val="center"/>
              <w:rPr>
                <w:rFonts w:ascii="Arial" w:eastAsia="Times New Roman" w:hAnsi="Arial" w:cs="Arial"/>
                <w:color w:val="000000"/>
                <w:sz w:val="22"/>
                <w:szCs w:val="22"/>
                <w:lang w:val="en-GB"/>
              </w:rPr>
            </w:pPr>
          </w:p>
        </w:tc>
        <w:tc>
          <w:tcPr>
            <w:tcW w:w="2142" w:type="dxa"/>
            <w:tcBorders>
              <w:top w:val="nil"/>
              <w:left w:val="nil"/>
              <w:bottom w:val="nil"/>
              <w:right w:val="nil"/>
            </w:tcBorders>
            <w:shd w:val="clear" w:color="auto" w:fill="auto"/>
            <w:noWrap/>
            <w:vAlign w:val="bottom"/>
            <w:hideMark/>
          </w:tcPr>
          <w:p w14:paraId="49A7444D" w14:textId="77777777" w:rsidR="00F638BC" w:rsidRPr="00F638BC" w:rsidRDefault="00F638BC" w:rsidP="00F638BC">
            <w:pPr>
              <w:jc w:val="center"/>
              <w:rPr>
                <w:rFonts w:ascii="Arial" w:eastAsia="Times New Roman" w:hAnsi="Arial" w:cs="Arial"/>
                <w:color w:val="000000"/>
                <w:sz w:val="22"/>
                <w:szCs w:val="22"/>
                <w:lang w:val="en-GB"/>
              </w:rPr>
            </w:pPr>
          </w:p>
        </w:tc>
      </w:tr>
      <w:tr w:rsidR="00F638BC" w:rsidRPr="00F638BC" w14:paraId="17E83860" w14:textId="77777777" w:rsidTr="00F638BC">
        <w:trPr>
          <w:trHeight w:val="260"/>
        </w:trPr>
        <w:tc>
          <w:tcPr>
            <w:tcW w:w="1725" w:type="dxa"/>
            <w:tcBorders>
              <w:top w:val="nil"/>
              <w:left w:val="nil"/>
              <w:bottom w:val="nil"/>
              <w:right w:val="nil"/>
            </w:tcBorders>
            <w:shd w:val="clear" w:color="auto" w:fill="auto"/>
            <w:noWrap/>
            <w:vAlign w:val="bottom"/>
            <w:hideMark/>
          </w:tcPr>
          <w:p w14:paraId="1D00923B" w14:textId="77777777" w:rsidR="00F638BC" w:rsidRPr="00F638BC" w:rsidRDefault="00F638BC" w:rsidP="00F638BC">
            <w:pPr>
              <w:rPr>
                <w:rFonts w:ascii="Arial" w:eastAsia="Times New Roman" w:hAnsi="Arial" w:cs="Arial"/>
                <w:color w:val="000000"/>
                <w:sz w:val="22"/>
                <w:szCs w:val="22"/>
                <w:lang w:val="en-GB"/>
              </w:rPr>
            </w:pPr>
          </w:p>
        </w:tc>
        <w:tc>
          <w:tcPr>
            <w:tcW w:w="1791" w:type="dxa"/>
            <w:tcBorders>
              <w:top w:val="nil"/>
              <w:left w:val="nil"/>
              <w:bottom w:val="nil"/>
              <w:right w:val="nil"/>
            </w:tcBorders>
            <w:shd w:val="clear" w:color="auto" w:fill="auto"/>
            <w:noWrap/>
            <w:vAlign w:val="bottom"/>
            <w:hideMark/>
          </w:tcPr>
          <w:p w14:paraId="39F6AB2A" w14:textId="77777777" w:rsidR="00F638BC" w:rsidRPr="00F638BC" w:rsidRDefault="00F638BC" w:rsidP="00F638BC">
            <w:pPr>
              <w:jc w:val="center"/>
              <w:rPr>
                <w:rFonts w:ascii="Arial" w:eastAsia="Times New Roman" w:hAnsi="Arial" w:cs="Arial"/>
                <w:color w:val="000000"/>
                <w:sz w:val="22"/>
                <w:szCs w:val="22"/>
                <w:lang w:val="en-GB"/>
              </w:rPr>
            </w:pPr>
          </w:p>
        </w:tc>
        <w:tc>
          <w:tcPr>
            <w:tcW w:w="1862" w:type="dxa"/>
            <w:tcBorders>
              <w:top w:val="nil"/>
              <w:left w:val="nil"/>
              <w:bottom w:val="nil"/>
              <w:right w:val="nil"/>
            </w:tcBorders>
            <w:shd w:val="clear" w:color="auto" w:fill="auto"/>
            <w:noWrap/>
            <w:vAlign w:val="bottom"/>
            <w:hideMark/>
          </w:tcPr>
          <w:p w14:paraId="471139E8" w14:textId="77777777" w:rsidR="00F638BC" w:rsidRPr="00F638BC" w:rsidRDefault="00F638BC" w:rsidP="00F638BC">
            <w:pPr>
              <w:jc w:val="center"/>
              <w:rPr>
                <w:rFonts w:ascii="Arial" w:eastAsia="Times New Roman" w:hAnsi="Arial" w:cs="Arial"/>
                <w:color w:val="000000"/>
                <w:sz w:val="22"/>
                <w:szCs w:val="22"/>
                <w:lang w:val="en-GB"/>
              </w:rPr>
            </w:pPr>
          </w:p>
        </w:tc>
        <w:tc>
          <w:tcPr>
            <w:tcW w:w="2142" w:type="dxa"/>
            <w:tcBorders>
              <w:top w:val="nil"/>
              <w:left w:val="nil"/>
              <w:bottom w:val="nil"/>
              <w:right w:val="nil"/>
            </w:tcBorders>
            <w:shd w:val="clear" w:color="auto" w:fill="auto"/>
            <w:noWrap/>
            <w:vAlign w:val="bottom"/>
            <w:hideMark/>
          </w:tcPr>
          <w:p w14:paraId="7AE75657" w14:textId="77777777" w:rsidR="00F638BC" w:rsidRPr="00F638BC" w:rsidRDefault="00F638BC" w:rsidP="00F638BC">
            <w:pPr>
              <w:jc w:val="center"/>
              <w:rPr>
                <w:rFonts w:ascii="Arial" w:eastAsia="Times New Roman" w:hAnsi="Arial" w:cs="Arial"/>
                <w:color w:val="000000"/>
                <w:sz w:val="22"/>
                <w:szCs w:val="22"/>
                <w:lang w:val="en-GB"/>
              </w:rPr>
            </w:pPr>
          </w:p>
        </w:tc>
      </w:tr>
      <w:tr w:rsidR="00F638BC" w:rsidRPr="00F638BC" w14:paraId="362E543B" w14:textId="77777777" w:rsidTr="00F638BC">
        <w:trPr>
          <w:trHeight w:val="260"/>
        </w:trPr>
        <w:tc>
          <w:tcPr>
            <w:tcW w:w="1725" w:type="dxa"/>
            <w:tcBorders>
              <w:top w:val="nil"/>
              <w:left w:val="nil"/>
              <w:bottom w:val="nil"/>
              <w:right w:val="nil"/>
            </w:tcBorders>
            <w:shd w:val="clear" w:color="auto" w:fill="auto"/>
            <w:noWrap/>
            <w:vAlign w:val="bottom"/>
            <w:hideMark/>
          </w:tcPr>
          <w:p w14:paraId="42C77C96" w14:textId="77777777" w:rsidR="00F638BC" w:rsidRPr="00F638BC" w:rsidRDefault="00F638BC" w:rsidP="00F638BC">
            <w:pPr>
              <w:rPr>
                <w:rFonts w:ascii="Arial" w:eastAsia="Times New Roman" w:hAnsi="Arial" w:cs="Arial"/>
                <w:color w:val="000000"/>
                <w:sz w:val="22"/>
                <w:szCs w:val="22"/>
                <w:lang w:val="en-GB"/>
              </w:rPr>
            </w:pPr>
            <w:r w:rsidRPr="00F638BC">
              <w:rPr>
                <w:rFonts w:ascii="Arial" w:eastAsia="Times New Roman" w:hAnsi="Arial" w:cs="Arial"/>
                <w:color w:val="000000"/>
                <w:sz w:val="22"/>
                <w:szCs w:val="22"/>
                <w:lang w:val="en-GB"/>
              </w:rPr>
              <w:t>CT only</w:t>
            </w:r>
          </w:p>
        </w:tc>
        <w:tc>
          <w:tcPr>
            <w:tcW w:w="1791" w:type="dxa"/>
            <w:tcBorders>
              <w:top w:val="nil"/>
              <w:left w:val="nil"/>
              <w:bottom w:val="nil"/>
              <w:right w:val="nil"/>
            </w:tcBorders>
            <w:shd w:val="clear" w:color="auto" w:fill="auto"/>
            <w:noWrap/>
            <w:vAlign w:val="bottom"/>
            <w:hideMark/>
          </w:tcPr>
          <w:p w14:paraId="7A036BCB" w14:textId="77777777" w:rsidR="00F638BC" w:rsidRPr="00F638BC" w:rsidRDefault="00F638BC" w:rsidP="00F638BC">
            <w:pPr>
              <w:jc w:val="center"/>
              <w:rPr>
                <w:rFonts w:ascii="Arial" w:eastAsia="Times New Roman" w:hAnsi="Arial" w:cs="Arial"/>
                <w:color w:val="000000"/>
                <w:sz w:val="22"/>
                <w:szCs w:val="22"/>
                <w:lang w:val="en-GB"/>
              </w:rPr>
            </w:pPr>
            <w:r w:rsidRPr="00F638BC">
              <w:rPr>
                <w:rFonts w:ascii="Arial" w:eastAsia="Times New Roman" w:hAnsi="Arial" w:cs="Arial"/>
                <w:color w:val="000000"/>
                <w:sz w:val="22"/>
                <w:szCs w:val="22"/>
                <w:lang w:val="en-GB"/>
              </w:rPr>
              <w:t>20954 (67.35)</w:t>
            </w:r>
          </w:p>
        </w:tc>
        <w:tc>
          <w:tcPr>
            <w:tcW w:w="1862" w:type="dxa"/>
            <w:tcBorders>
              <w:top w:val="nil"/>
              <w:left w:val="nil"/>
              <w:bottom w:val="nil"/>
              <w:right w:val="nil"/>
            </w:tcBorders>
            <w:shd w:val="clear" w:color="auto" w:fill="auto"/>
            <w:noWrap/>
            <w:vAlign w:val="bottom"/>
            <w:hideMark/>
          </w:tcPr>
          <w:p w14:paraId="704B3AC3" w14:textId="77777777" w:rsidR="00F638BC" w:rsidRPr="00F638BC" w:rsidRDefault="00F638BC" w:rsidP="00F638BC">
            <w:pPr>
              <w:jc w:val="center"/>
              <w:rPr>
                <w:rFonts w:ascii="Arial" w:eastAsia="Times New Roman" w:hAnsi="Arial" w:cs="Arial"/>
                <w:color w:val="000000"/>
                <w:sz w:val="22"/>
                <w:szCs w:val="22"/>
                <w:lang w:val="en-GB"/>
              </w:rPr>
            </w:pPr>
            <w:r w:rsidRPr="00F638BC">
              <w:rPr>
                <w:rFonts w:ascii="Arial" w:eastAsia="Times New Roman" w:hAnsi="Arial" w:cs="Arial"/>
                <w:color w:val="000000"/>
                <w:sz w:val="22"/>
                <w:szCs w:val="22"/>
                <w:lang w:val="en-GB"/>
              </w:rPr>
              <w:t>9095 (65.98)</w:t>
            </w:r>
          </w:p>
        </w:tc>
        <w:tc>
          <w:tcPr>
            <w:tcW w:w="2142" w:type="dxa"/>
            <w:tcBorders>
              <w:top w:val="nil"/>
              <w:left w:val="nil"/>
              <w:bottom w:val="nil"/>
              <w:right w:val="nil"/>
            </w:tcBorders>
            <w:shd w:val="clear" w:color="auto" w:fill="auto"/>
            <w:noWrap/>
            <w:vAlign w:val="bottom"/>
            <w:hideMark/>
          </w:tcPr>
          <w:p w14:paraId="111A39F6" w14:textId="77777777" w:rsidR="00F638BC" w:rsidRPr="00F638BC" w:rsidRDefault="00F638BC" w:rsidP="00F638BC">
            <w:pPr>
              <w:jc w:val="center"/>
              <w:rPr>
                <w:rFonts w:ascii="Arial" w:eastAsia="Times New Roman" w:hAnsi="Arial" w:cs="Arial"/>
                <w:color w:val="000000"/>
                <w:sz w:val="22"/>
                <w:szCs w:val="22"/>
                <w:lang w:val="en-GB"/>
              </w:rPr>
            </w:pPr>
            <w:r w:rsidRPr="00F638BC">
              <w:rPr>
                <w:rFonts w:ascii="Arial" w:eastAsia="Times New Roman" w:hAnsi="Arial" w:cs="Arial"/>
                <w:color w:val="000000"/>
                <w:sz w:val="22"/>
                <w:szCs w:val="22"/>
                <w:lang w:val="en-GB"/>
              </w:rPr>
              <w:t>30049 (66.80)</w:t>
            </w:r>
          </w:p>
        </w:tc>
      </w:tr>
      <w:tr w:rsidR="00F638BC" w:rsidRPr="00F638BC" w14:paraId="1EFF6C03" w14:textId="77777777" w:rsidTr="00F638BC">
        <w:trPr>
          <w:trHeight w:val="260"/>
        </w:trPr>
        <w:tc>
          <w:tcPr>
            <w:tcW w:w="1725" w:type="dxa"/>
            <w:tcBorders>
              <w:top w:val="nil"/>
              <w:left w:val="nil"/>
              <w:bottom w:val="nil"/>
              <w:right w:val="nil"/>
            </w:tcBorders>
            <w:shd w:val="clear" w:color="auto" w:fill="auto"/>
            <w:noWrap/>
            <w:vAlign w:val="bottom"/>
            <w:hideMark/>
          </w:tcPr>
          <w:p w14:paraId="2A622850" w14:textId="77777777" w:rsidR="00F638BC" w:rsidRPr="00F638BC" w:rsidRDefault="00F638BC" w:rsidP="00F638BC">
            <w:pPr>
              <w:rPr>
                <w:rFonts w:ascii="Arial" w:eastAsia="Times New Roman" w:hAnsi="Arial" w:cs="Arial"/>
                <w:color w:val="000000"/>
                <w:sz w:val="22"/>
                <w:szCs w:val="22"/>
                <w:lang w:val="en-GB"/>
              </w:rPr>
            </w:pPr>
            <w:r w:rsidRPr="00F638BC">
              <w:rPr>
                <w:rFonts w:ascii="Arial" w:eastAsia="Times New Roman" w:hAnsi="Arial" w:cs="Arial"/>
                <w:color w:val="000000"/>
                <w:sz w:val="22"/>
                <w:szCs w:val="22"/>
                <w:lang w:val="en-GB"/>
              </w:rPr>
              <w:t>SA only</w:t>
            </w:r>
          </w:p>
        </w:tc>
        <w:tc>
          <w:tcPr>
            <w:tcW w:w="1791" w:type="dxa"/>
            <w:tcBorders>
              <w:top w:val="nil"/>
              <w:left w:val="nil"/>
              <w:bottom w:val="nil"/>
              <w:right w:val="nil"/>
            </w:tcBorders>
            <w:shd w:val="clear" w:color="auto" w:fill="auto"/>
            <w:noWrap/>
            <w:vAlign w:val="bottom"/>
            <w:hideMark/>
          </w:tcPr>
          <w:p w14:paraId="12B1467A" w14:textId="77777777" w:rsidR="00F638BC" w:rsidRPr="00F638BC" w:rsidRDefault="00F638BC" w:rsidP="00F638BC">
            <w:pPr>
              <w:jc w:val="center"/>
              <w:rPr>
                <w:rFonts w:ascii="Arial" w:eastAsia="Times New Roman" w:hAnsi="Arial" w:cs="Arial"/>
                <w:color w:val="000000"/>
                <w:sz w:val="22"/>
                <w:szCs w:val="22"/>
                <w:lang w:val="en-GB"/>
              </w:rPr>
            </w:pPr>
            <w:r w:rsidRPr="00F638BC">
              <w:rPr>
                <w:rFonts w:ascii="Arial" w:eastAsia="Times New Roman" w:hAnsi="Arial" w:cs="Arial"/>
                <w:color w:val="000000"/>
                <w:sz w:val="22"/>
                <w:szCs w:val="22"/>
                <w:lang w:val="en-GB"/>
              </w:rPr>
              <w:t>8703 (27.96)</w:t>
            </w:r>
          </w:p>
        </w:tc>
        <w:tc>
          <w:tcPr>
            <w:tcW w:w="1862" w:type="dxa"/>
            <w:tcBorders>
              <w:top w:val="nil"/>
              <w:left w:val="nil"/>
              <w:bottom w:val="nil"/>
              <w:right w:val="nil"/>
            </w:tcBorders>
            <w:shd w:val="clear" w:color="auto" w:fill="auto"/>
            <w:noWrap/>
            <w:vAlign w:val="bottom"/>
            <w:hideMark/>
          </w:tcPr>
          <w:p w14:paraId="35E97FC0" w14:textId="77777777" w:rsidR="00F638BC" w:rsidRPr="00F638BC" w:rsidRDefault="00F638BC" w:rsidP="00F638BC">
            <w:pPr>
              <w:jc w:val="center"/>
              <w:rPr>
                <w:rFonts w:ascii="Arial" w:eastAsia="Times New Roman" w:hAnsi="Arial" w:cs="Arial"/>
                <w:color w:val="000000"/>
                <w:sz w:val="22"/>
                <w:szCs w:val="22"/>
                <w:lang w:val="en-GB"/>
              </w:rPr>
            </w:pPr>
            <w:r w:rsidRPr="00F638BC">
              <w:rPr>
                <w:rFonts w:ascii="Arial" w:eastAsia="Times New Roman" w:hAnsi="Arial" w:cs="Arial"/>
                <w:color w:val="000000"/>
                <w:sz w:val="22"/>
                <w:szCs w:val="22"/>
                <w:lang w:val="en-GB"/>
              </w:rPr>
              <w:t>4554 (33.04)</w:t>
            </w:r>
          </w:p>
        </w:tc>
        <w:tc>
          <w:tcPr>
            <w:tcW w:w="2142" w:type="dxa"/>
            <w:tcBorders>
              <w:top w:val="nil"/>
              <w:left w:val="nil"/>
              <w:bottom w:val="nil"/>
              <w:right w:val="nil"/>
            </w:tcBorders>
            <w:shd w:val="clear" w:color="auto" w:fill="auto"/>
            <w:noWrap/>
            <w:vAlign w:val="bottom"/>
            <w:hideMark/>
          </w:tcPr>
          <w:p w14:paraId="59D6C2E3" w14:textId="77777777" w:rsidR="00F638BC" w:rsidRPr="00F638BC" w:rsidRDefault="00F638BC" w:rsidP="00F638BC">
            <w:pPr>
              <w:jc w:val="center"/>
              <w:rPr>
                <w:rFonts w:ascii="Arial" w:eastAsia="Times New Roman" w:hAnsi="Arial" w:cs="Arial"/>
                <w:color w:val="000000"/>
                <w:sz w:val="22"/>
                <w:szCs w:val="22"/>
                <w:lang w:val="en-GB"/>
              </w:rPr>
            </w:pPr>
            <w:r w:rsidRPr="00F638BC">
              <w:rPr>
                <w:rFonts w:ascii="Arial" w:eastAsia="Times New Roman" w:hAnsi="Arial" w:cs="Arial"/>
                <w:color w:val="000000"/>
                <w:sz w:val="22"/>
                <w:szCs w:val="22"/>
                <w:lang w:val="en-GB"/>
              </w:rPr>
              <w:t>13257 (29.47)</w:t>
            </w:r>
          </w:p>
        </w:tc>
      </w:tr>
      <w:tr w:rsidR="00F638BC" w:rsidRPr="00F638BC" w14:paraId="48ACB99C" w14:textId="77777777" w:rsidTr="00F638BC">
        <w:trPr>
          <w:trHeight w:val="260"/>
        </w:trPr>
        <w:tc>
          <w:tcPr>
            <w:tcW w:w="1725" w:type="dxa"/>
            <w:tcBorders>
              <w:top w:val="nil"/>
              <w:left w:val="nil"/>
              <w:bottom w:val="nil"/>
              <w:right w:val="nil"/>
            </w:tcBorders>
            <w:shd w:val="clear" w:color="auto" w:fill="auto"/>
            <w:noWrap/>
            <w:vAlign w:val="bottom"/>
            <w:hideMark/>
          </w:tcPr>
          <w:p w14:paraId="47DF77FF" w14:textId="77777777" w:rsidR="00F638BC" w:rsidRPr="00F638BC" w:rsidRDefault="00F638BC" w:rsidP="00F638BC">
            <w:pPr>
              <w:rPr>
                <w:rFonts w:ascii="Arial" w:eastAsia="Times New Roman" w:hAnsi="Arial" w:cs="Arial"/>
                <w:color w:val="000000"/>
                <w:sz w:val="22"/>
                <w:szCs w:val="22"/>
                <w:lang w:val="en-GB"/>
              </w:rPr>
            </w:pPr>
            <w:r w:rsidRPr="00F638BC">
              <w:rPr>
                <w:rFonts w:ascii="Arial" w:eastAsia="Times New Roman" w:hAnsi="Arial" w:cs="Arial"/>
                <w:color w:val="000000"/>
                <w:sz w:val="22"/>
                <w:szCs w:val="22"/>
                <w:lang w:val="en-GB"/>
              </w:rPr>
              <w:t>CT &amp; SA</w:t>
            </w:r>
          </w:p>
        </w:tc>
        <w:tc>
          <w:tcPr>
            <w:tcW w:w="1791" w:type="dxa"/>
            <w:tcBorders>
              <w:top w:val="nil"/>
              <w:left w:val="nil"/>
              <w:bottom w:val="nil"/>
              <w:right w:val="nil"/>
            </w:tcBorders>
            <w:shd w:val="clear" w:color="auto" w:fill="auto"/>
            <w:noWrap/>
            <w:vAlign w:val="bottom"/>
            <w:hideMark/>
          </w:tcPr>
          <w:p w14:paraId="630B415C" w14:textId="77777777" w:rsidR="00F638BC" w:rsidRPr="00F638BC" w:rsidRDefault="00F638BC" w:rsidP="00F638BC">
            <w:pPr>
              <w:jc w:val="center"/>
              <w:rPr>
                <w:rFonts w:ascii="Arial" w:eastAsia="Times New Roman" w:hAnsi="Arial" w:cs="Arial"/>
                <w:color w:val="000000"/>
                <w:sz w:val="22"/>
                <w:szCs w:val="22"/>
                <w:lang w:val="en-GB"/>
              </w:rPr>
            </w:pPr>
            <w:r w:rsidRPr="00F638BC">
              <w:rPr>
                <w:rFonts w:ascii="Arial" w:eastAsia="Times New Roman" w:hAnsi="Arial" w:cs="Arial"/>
                <w:color w:val="000000"/>
                <w:sz w:val="22"/>
                <w:szCs w:val="22"/>
                <w:lang w:val="en-GB"/>
              </w:rPr>
              <w:t>1454 (4.67)</w:t>
            </w:r>
          </w:p>
        </w:tc>
        <w:tc>
          <w:tcPr>
            <w:tcW w:w="1862" w:type="dxa"/>
            <w:tcBorders>
              <w:top w:val="nil"/>
              <w:left w:val="nil"/>
              <w:bottom w:val="nil"/>
              <w:right w:val="nil"/>
            </w:tcBorders>
            <w:shd w:val="clear" w:color="auto" w:fill="auto"/>
            <w:noWrap/>
            <w:vAlign w:val="bottom"/>
            <w:hideMark/>
          </w:tcPr>
          <w:p w14:paraId="41D74A74" w14:textId="77777777" w:rsidR="00F638BC" w:rsidRPr="00F638BC" w:rsidRDefault="00F638BC" w:rsidP="00F638BC">
            <w:pPr>
              <w:jc w:val="center"/>
              <w:rPr>
                <w:rFonts w:ascii="Arial" w:eastAsia="Times New Roman" w:hAnsi="Arial" w:cs="Arial"/>
                <w:color w:val="000000"/>
                <w:sz w:val="22"/>
                <w:szCs w:val="22"/>
                <w:lang w:val="en-GB"/>
              </w:rPr>
            </w:pPr>
            <w:r w:rsidRPr="00F638BC">
              <w:rPr>
                <w:rFonts w:ascii="Arial" w:eastAsia="Times New Roman" w:hAnsi="Arial" w:cs="Arial"/>
                <w:color w:val="000000"/>
                <w:sz w:val="22"/>
                <w:szCs w:val="22"/>
                <w:lang w:val="en-GB"/>
              </w:rPr>
              <w:t>135 (0.98)</w:t>
            </w:r>
          </w:p>
        </w:tc>
        <w:tc>
          <w:tcPr>
            <w:tcW w:w="2142" w:type="dxa"/>
            <w:tcBorders>
              <w:top w:val="nil"/>
              <w:left w:val="nil"/>
              <w:bottom w:val="nil"/>
              <w:right w:val="nil"/>
            </w:tcBorders>
            <w:shd w:val="clear" w:color="auto" w:fill="auto"/>
            <w:noWrap/>
            <w:vAlign w:val="bottom"/>
            <w:hideMark/>
          </w:tcPr>
          <w:p w14:paraId="7B500A6C" w14:textId="77777777" w:rsidR="00F638BC" w:rsidRPr="00F638BC" w:rsidRDefault="00F638BC" w:rsidP="00F638BC">
            <w:pPr>
              <w:jc w:val="center"/>
              <w:rPr>
                <w:rFonts w:ascii="Arial" w:eastAsia="Times New Roman" w:hAnsi="Arial" w:cs="Arial"/>
                <w:color w:val="000000"/>
                <w:sz w:val="22"/>
                <w:szCs w:val="22"/>
                <w:lang w:val="en-GB"/>
              </w:rPr>
            </w:pPr>
            <w:r w:rsidRPr="00F638BC">
              <w:rPr>
                <w:rFonts w:ascii="Arial" w:eastAsia="Times New Roman" w:hAnsi="Arial" w:cs="Arial"/>
                <w:color w:val="000000"/>
                <w:sz w:val="22"/>
                <w:szCs w:val="22"/>
                <w:lang w:val="en-GB"/>
              </w:rPr>
              <w:t>1589 (3.53)</w:t>
            </w:r>
          </w:p>
        </w:tc>
      </w:tr>
      <w:tr w:rsidR="00F638BC" w:rsidRPr="00F638BC" w14:paraId="70E4B4C2" w14:textId="77777777" w:rsidTr="00F638BC">
        <w:trPr>
          <w:trHeight w:val="280"/>
        </w:trPr>
        <w:tc>
          <w:tcPr>
            <w:tcW w:w="1725" w:type="dxa"/>
            <w:tcBorders>
              <w:top w:val="nil"/>
              <w:left w:val="nil"/>
              <w:bottom w:val="nil"/>
              <w:right w:val="nil"/>
            </w:tcBorders>
            <w:shd w:val="clear" w:color="auto" w:fill="auto"/>
            <w:noWrap/>
            <w:vAlign w:val="bottom"/>
            <w:hideMark/>
          </w:tcPr>
          <w:p w14:paraId="25597090" w14:textId="77777777" w:rsidR="00F638BC" w:rsidRPr="00F638BC" w:rsidRDefault="00F638BC" w:rsidP="00F638BC">
            <w:pPr>
              <w:rPr>
                <w:rFonts w:ascii="Arial" w:eastAsia="Times New Roman" w:hAnsi="Arial" w:cs="Arial"/>
                <w:color w:val="000000"/>
                <w:sz w:val="22"/>
                <w:szCs w:val="22"/>
                <w:lang w:val="en-GB"/>
              </w:rPr>
            </w:pPr>
            <w:r w:rsidRPr="00F638BC">
              <w:rPr>
                <w:rFonts w:ascii="Arial" w:eastAsia="Times New Roman" w:hAnsi="Arial" w:cs="Arial"/>
                <w:color w:val="000000"/>
                <w:sz w:val="22"/>
                <w:szCs w:val="22"/>
                <w:lang w:val="en-GB"/>
              </w:rPr>
              <w:t>Total</w:t>
            </w:r>
            <w:r w:rsidRPr="00F638BC">
              <w:rPr>
                <w:rFonts w:ascii="Arial" w:eastAsia="Times New Roman" w:hAnsi="Arial" w:cs="Arial"/>
                <w:color w:val="000000"/>
                <w:sz w:val="22"/>
                <w:szCs w:val="22"/>
                <w:vertAlign w:val="superscript"/>
                <w:lang w:val="en-GB"/>
              </w:rPr>
              <w:t>b</w:t>
            </w:r>
          </w:p>
        </w:tc>
        <w:tc>
          <w:tcPr>
            <w:tcW w:w="1791" w:type="dxa"/>
            <w:tcBorders>
              <w:top w:val="nil"/>
              <w:left w:val="nil"/>
              <w:bottom w:val="nil"/>
              <w:right w:val="nil"/>
            </w:tcBorders>
            <w:shd w:val="clear" w:color="auto" w:fill="auto"/>
            <w:noWrap/>
            <w:vAlign w:val="bottom"/>
            <w:hideMark/>
          </w:tcPr>
          <w:p w14:paraId="73400473" w14:textId="77777777" w:rsidR="00F638BC" w:rsidRPr="00F638BC" w:rsidRDefault="00F638BC" w:rsidP="00F638BC">
            <w:pPr>
              <w:jc w:val="center"/>
              <w:rPr>
                <w:rFonts w:ascii="Arial" w:eastAsia="Times New Roman" w:hAnsi="Arial" w:cs="Arial"/>
                <w:color w:val="000000"/>
                <w:sz w:val="22"/>
                <w:szCs w:val="22"/>
                <w:lang w:val="en-GB"/>
              </w:rPr>
            </w:pPr>
            <w:r w:rsidRPr="00F638BC">
              <w:rPr>
                <w:rFonts w:ascii="Arial" w:eastAsia="Times New Roman" w:hAnsi="Arial" w:cs="Arial"/>
                <w:color w:val="000000"/>
                <w:sz w:val="22"/>
                <w:szCs w:val="22"/>
                <w:lang w:val="en-GB"/>
              </w:rPr>
              <w:t>31111 (100)</w:t>
            </w:r>
          </w:p>
        </w:tc>
        <w:tc>
          <w:tcPr>
            <w:tcW w:w="1862" w:type="dxa"/>
            <w:tcBorders>
              <w:top w:val="nil"/>
              <w:left w:val="nil"/>
              <w:bottom w:val="nil"/>
              <w:right w:val="nil"/>
            </w:tcBorders>
            <w:shd w:val="clear" w:color="auto" w:fill="auto"/>
            <w:noWrap/>
            <w:vAlign w:val="bottom"/>
            <w:hideMark/>
          </w:tcPr>
          <w:p w14:paraId="79F79C32" w14:textId="77777777" w:rsidR="00F638BC" w:rsidRPr="00F638BC" w:rsidRDefault="00F638BC" w:rsidP="00F638BC">
            <w:pPr>
              <w:jc w:val="center"/>
              <w:rPr>
                <w:rFonts w:ascii="Arial" w:eastAsia="Times New Roman" w:hAnsi="Arial" w:cs="Arial"/>
                <w:color w:val="000000"/>
                <w:sz w:val="22"/>
                <w:szCs w:val="22"/>
                <w:lang w:val="en-GB"/>
              </w:rPr>
            </w:pPr>
            <w:r w:rsidRPr="00F638BC">
              <w:rPr>
                <w:rFonts w:ascii="Arial" w:eastAsia="Times New Roman" w:hAnsi="Arial" w:cs="Arial"/>
                <w:color w:val="000000"/>
                <w:sz w:val="22"/>
                <w:szCs w:val="22"/>
                <w:lang w:val="en-GB"/>
              </w:rPr>
              <w:t>13784 (100)</w:t>
            </w:r>
          </w:p>
        </w:tc>
        <w:tc>
          <w:tcPr>
            <w:tcW w:w="2142" w:type="dxa"/>
            <w:tcBorders>
              <w:top w:val="nil"/>
              <w:left w:val="nil"/>
              <w:bottom w:val="nil"/>
              <w:right w:val="nil"/>
            </w:tcBorders>
            <w:shd w:val="clear" w:color="auto" w:fill="auto"/>
            <w:noWrap/>
            <w:vAlign w:val="bottom"/>
            <w:hideMark/>
          </w:tcPr>
          <w:p w14:paraId="2B302413" w14:textId="77777777" w:rsidR="00F638BC" w:rsidRPr="00F638BC" w:rsidRDefault="00F638BC" w:rsidP="00F638BC">
            <w:pPr>
              <w:jc w:val="center"/>
              <w:rPr>
                <w:rFonts w:ascii="Arial" w:eastAsia="Times New Roman" w:hAnsi="Arial" w:cs="Arial"/>
                <w:color w:val="000000"/>
                <w:sz w:val="22"/>
                <w:szCs w:val="22"/>
                <w:lang w:val="en-GB"/>
              </w:rPr>
            </w:pPr>
            <w:r w:rsidRPr="00F638BC">
              <w:rPr>
                <w:rFonts w:ascii="Arial" w:eastAsia="Times New Roman" w:hAnsi="Arial" w:cs="Arial"/>
                <w:color w:val="000000"/>
                <w:sz w:val="22"/>
                <w:szCs w:val="22"/>
                <w:lang w:val="en-GB"/>
              </w:rPr>
              <w:t>44895 (100)</w:t>
            </w:r>
          </w:p>
        </w:tc>
      </w:tr>
      <w:tr w:rsidR="00F638BC" w:rsidRPr="00F638BC" w14:paraId="5CFF2181" w14:textId="77777777" w:rsidTr="00F638BC">
        <w:trPr>
          <w:trHeight w:val="260"/>
        </w:trPr>
        <w:tc>
          <w:tcPr>
            <w:tcW w:w="1725" w:type="dxa"/>
            <w:tcBorders>
              <w:top w:val="nil"/>
              <w:left w:val="nil"/>
              <w:bottom w:val="nil"/>
              <w:right w:val="nil"/>
            </w:tcBorders>
            <w:shd w:val="clear" w:color="auto" w:fill="auto"/>
            <w:noWrap/>
            <w:vAlign w:val="bottom"/>
            <w:hideMark/>
          </w:tcPr>
          <w:p w14:paraId="10F757BD" w14:textId="77777777" w:rsidR="00F638BC" w:rsidRPr="00F638BC" w:rsidRDefault="00F638BC" w:rsidP="00F638BC">
            <w:pPr>
              <w:rPr>
                <w:rFonts w:ascii="Arial" w:eastAsia="Times New Roman" w:hAnsi="Arial" w:cs="Arial"/>
                <w:color w:val="000000"/>
                <w:sz w:val="22"/>
                <w:szCs w:val="22"/>
                <w:lang w:val="en-GB"/>
              </w:rPr>
            </w:pPr>
          </w:p>
        </w:tc>
        <w:tc>
          <w:tcPr>
            <w:tcW w:w="1791" w:type="dxa"/>
            <w:tcBorders>
              <w:top w:val="nil"/>
              <w:left w:val="nil"/>
              <w:bottom w:val="nil"/>
              <w:right w:val="nil"/>
            </w:tcBorders>
            <w:shd w:val="clear" w:color="auto" w:fill="auto"/>
            <w:noWrap/>
            <w:vAlign w:val="bottom"/>
            <w:hideMark/>
          </w:tcPr>
          <w:p w14:paraId="7BED9871" w14:textId="77777777" w:rsidR="00F638BC" w:rsidRPr="00F638BC" w:rsidRDefault="00F638BC" w:rsidP="00F638BC">
            <w:pPr>
              <w:jc w:val="center"/>
              <w:rPr>
                <w:rFonts w:ascii="Arial" w:eastAsia="Times New Roman" w:hAnsi="Arial" w:cs="Arial"/>
                <w:color w:val="000000"/>
                <w:sz w:val="22"/>
                <w:szCs w:val="22"/>
                <w:lang w:val="en-GB"/>
              </w:rPr>
            </w:pPr>
          </w:p>
        </w:tc>
        <w:tc>
          <w:tcPr>
            <w:tcW w:w="1862" w:type="dxa"/>
            <w:tcBorders>
              <w:top w:val="nil"/>
              <w:left w:val="nil"/>
              <w:bottom w:val="nil"/>
              <w:right w:val="nil"/>
            </w:tcBorders>
            <w:shd w:val="clear" w:color="auto" w:fill="auto"/>
            <w:noWrap/>
            <w:vAlign w:val="bottom"/>
            <w:hideMark/>
          </w:tcPr>
          <w:p w14:paraId="64FE1C63" w14:textId="77777777" w:rsidR="00F638BC" w:rsidRPr="00F638BC" w:rsidRDefault="00F638BC" w:rsidP="00F638BC">
            <w:pPr>
              <w:jc w:val="center"/>
              <w:rPr>
                <w:rFonts w:ascii="Arial" w:eastAsia="Times New Roman" w:hAnsi="Arial" w:cs="Arial"/>
                <w:color w:val="000000"/>
                <w:sz w:val="22"/>
                <w:szCs w:val="22"/>
                <w:lang w:val="en-GB"/>
              </w:rPr>
            </w:pPr>
          </w:p>
        </w:tc>
        <w:tc>
          <w:tcPr>
            <w:tcW w:w="2142" w:type="dxa"/>
            <w:tcBorders>
              <w:top w:val="nil"/>
              <w:left w:val="nil"/>
              <w:bottom w:val="nil"/>
              <w:right w:val="nil"/>
            </w:tcBorders>
            <w:shd w:val="clear" w:color="auto" w:fill="auto"/>
            <w:noWrap/>
            <w:vAlign w:val="bottom"/>
            <w:hideMark/>
          </w:tcPr>
          <w:p w14:paraId="0393ED31" w14:textId="77777777" w:rsidR="00F638BC" w:rsidRPr="00F638BC" w:rsidRDefault="00F638BC" w:rsidP="00F638BC">
            <w:pPr>
              <w:jc w:val="center"/>
              <w:rPr>
                <w:rFonts w:ascii="Arial" w:eastAsia="Times New Roman" w:hAnsi="Arial" w:cs="Arial"/>
                <w:color w:val="000000"/>
                <w:sz w:val="22"/>
                <w:szCs w:val="22"/>
                <w:lang w:val="en-GB"/>
              </w:rPr>
            </w:pPr>
          </w:p>
        </w:tc>
      </w:tr>
      <w:tr w:rsidR="00F638BC" w:rsidRPr="00F638BC" w14:paraId="135A5D03" w14:textId="77777777" w:rsidTr="00F638BC">
        <w:trPr>
          <w:trHeight w:val="260"/>
        </w:trPr>
        <w:tc>
          <w:tcPr>
            <w:tcW w:w="3516" w:type="dxa"/>
            <w:gridSpan w:val="2"/>
            <w:tcBorders>
              <w:top w:val="nil"/>
              <w:left w:val="nil"/>
              <w:bottom w:val="nil"/>
              <w:right w:val="nil"/>
            </w:tcBorders>
            <w:shd w:val="clear" w:color="auto" w:fill="auto"/>
            <w:noWrap/>
            <w:vAlign w:val="bottom"/>
            <w:hideMark/>
          </w:tcPr>
          <w:p w14:paraId="42B52E40" w14:textId="77777777" w:rsidR="00F638BC" w:rsidRPr="00F638BC" w:rsidRDefault="00F638BC" w:rsidP="00F638BC">
            <w:pPr>
              <w:rPr>
                <w:rFonts w:ascii="Arial" w:eastAsia="Times New Roman" w:hAnsi="Arial" w:cs="Arial"/>
                <w:i/>
                <w:iCs/>
                <w:color w:val="000000"/>
                <w:sz w:val="22"/>
                <w:szCs w:val="22"/>
                <w:lang w:val="en-GB"/>
              </w:rPr>
            </w:pPr>
            <w:r w:rsidRPr="00F638BC">
              <w:rPr>
                <w:rFonts w:ascii="Arial" w:eastAsia="Times New Roman" w:hAnsi="Arial" w:cs="Arial"/>
                <w:i/>
                <w:iCs/>
                <w:color w:val="000000"/>
                <w:sz w:val="22"/>
                <w:szCs w:val="22"/>
                <w:lang w:val="en-GB"/>
              </w:rPr>
              <w:t>Contribution of CT and SA to CV</w:t>
            </w:r>
          </w:p>
        </w:tc>
        <w:tc>
          <w:tcPr>
            <w:tcW w:w="1862" w:type="dxa"/>
            <w:tcBorders>
              <w:top w:val="nil"/>
              <w:left w:val="nil"/>
              <w:bottom w:val="nil"/>
              <w:right w:val="nil"/>
            </w:tcBorders>
            <w:shd w:val="clear" w:color="auto" w:fill="auto"/>
            <w:noWrap/>
            <w:vAlign w:val="bottom"/>
            <w:hideMark/>
          </w:tcPr>
          <w:p w14:paraId="3BBC25AA" w14:textId="77777777" w:rsidR="00F638BC" w:rsidRPr="00F638BC" w:rsidRDefault="00F638BC" w:rsidP="00F638BC">
            <w:pPr>
              <w:jc w:val="center"/>
              <w:rPr>
                <w:rFonts w:ascii="Arial" w:eastAsia="Times New Roman" w:hAnsi="Arial" w:cs="Arial"/>
                <w:color w:val="000000"/>
                <w:sz w:val="22"/>
                <w:szCs w:val="22"/>
                <w:lang w:val="en-GB"/>
              </w:rPr>
            </w:pPr>
          </w:p>
        </w:tc>
        <w:tc>
          <w:tcPr>
            <w:tcW w:w="2142" w:type="dxa"/>
            <w:tcBorders>
              <w:top w:val="nil"/>
              <w:left w:val="nil"/>
              <w:bottom w:val="nil"/>
              <w:right w:val="nil"/>
            </w:tcBorders>
            <w:shd w:val="clear" w:color="auto" w:fill="auto"/>
            <w:noWrap/>
            <w:vAlign w:val="bottom"/>
            <w:hideMark/>
          </w:tcPr>
          <w:p w14:paraId="3BFDD17C" w14:textId="77777777" w:rsidR="00F638BC" w:rsidRPr="00F638BC" w:rsidRDefault="00F638BC" w:rsidP="00F638BC">
            <w:pPr>
              <w:jc w:val="center"/>
              <w:rPr>
                <w:rFonts w:ascii="Arial" w:eastAsia="Times New Roman" w:hAnsi="Arial" w:cs="Arial"/>
                <w:color w:val="000000"/>
                <w:sz w:val="22"/>
                <w:szCs w:val="22"/>
                <w:lang w:val="en-GB"/>
              </w:rPr>
            </w:pPr>
          </w:p>
        </w:tc>
      </w:tr>
      <w:tr w:rsidR="00F638BC" w:rsidRPr="00F638BC" w14:paraId="78C5A5C0" w14:textId="77777777" w:rsidTr="00F638BC">
        <w:trPr>
          <w:trHeight w:val="260"/>
        </w:trPr>
        <w:tc>
          <w:tcPr>
            <w:tcW w:w="1725" w:type="dxa"/>
            <w:tcBorders>
              <w:top w:val="nil"/>
              <w:left w:val="nil"/>
              <w:bottom w:val="nil"/>
              <w:right w:val="nil"/>
            </w:tcBorders>
            <w:shd w:val="clear" w:color="auto" w:fill="auto"/>
            <w:noWrap/>
            <w:vAlign w:val="bottom"/>
            <w:hideMark/>
          </w:tcPr>
          <w:p w14:paraId="0CAF0333" w14:textId="77777777" w:rsidR="00F638BC" w:rsidRPr="00F638BC" w:rsidRDefault="00F638BC" w:rsidP="00F638BC">
            <w:pPr>
              <w:rPr>
                <w:rFonts w:ascii="Arial" w:eastAsia="Times New Roman" w:hAnsi="Arial" w:cs="Arial"/>
                <w:color w:val="000000"/>
                <w:sz w:val="22"/>
                <w:szCs w:val="22"/>
                <w:lang w:val="en-GB"/>
              </w:rPr>
            </w:pPr>
          </w:p>
        </w:tc>
        <w:tc>
          <w:tcPr>
            <w:tcW w:w="1791" w:type="dxa"/>
            <w:tcBorders>
              <w:top w:val="nil"/>
              <w:left w:val="nil"/>
              <w:bottom w:val="nil"/>
              <w:right w:val="nil"/>
            </w:tcBorders>
            <w:shd w:val="clear" w:color="auto" w:fill="auto"/>
            <w:noWrap/>
            <w:vAlign w:val="bottom"/>
            <w:hideMark/>
          </w:tcPr>
          <w:p w14:paraId="311A7D77" w14:textId="77777777" w:rsidR="00F638BC" w:rsidRPr="00F638BC" w:rsidRDefault="00F638BC" w:rsidP="00F638BC">
            <w:pPr>
              <w:jc w:val="center"/>
              <w:rPr>
                <w:rFonts w:ascii="Arial" w:eastAsia="Times New Roman" w:hAnsi="Arial" w:cs="Arial"/>
                <w:color w:val="000000"/>
                <w:sz w:val="22"/>
                <w:szCs w:val="22"/>
                <w:lang w:val="en-GB"/>
              </w:rPr>
            </w:pPr>
          </w:p>
        </w:tc>
        <w:tc>
          <w:tcPr>
            <w:tcW w:w="1862" w:type="dxa"/>
            <w:tcBorders>
              <w:top w:val="nil"/>
              <w:left w:val="nil"/>
              <w:bottom w:val="nil"/>
              <w:right w:val="nil"/>
            </w:tcBorders>
            <w:shd w:val="clear" w:color="auto" w:fill="auto"/>
            <w:noWrap/>
            <w:vAlign w:val="bottom"/>
            <w:hideMark/>
          </w:tcPr>
          <w:p w14:paraId="604C1213" w14:textId="77777777" w:rsidR="00F638BC" w:rsidRPr="00F638BC" w:rsidRDefault="00F638BC" w:rsidP="00F638BC">
            <w:pPr>
              <w:jc w:val="center"/>
              <w:rPr>
                <w:rFonts w:ascii="Arial" w:eastAsia="Times New Roman" w:hAnsi="Arial" w:cs="Arial"/>
                <w:color w:val="000000"/>
                <w:sz w:val="22"/>
                <w:szCs w:val="22"/>
                <w:lang w:val="en-GB"/>
              </w:rPr>
            </w:pPr>
          </w:p>
        </w:tc>
        <w:tc>
          <w:tcPr>
            <w:tcW w:w="2142" w:type="dxa"/>
            <w:tcBorders>
              <w:top w:val="nil"/>
              <w:left w:val="nil"/>
              <w:bottom w:val="nil"/>
              <w:right w:val="nil"/>
            </w:tcBorders>
            <w:shd w:val="clear" w:color="auto" w:fill="auto"/>
            <w:noWrap/>
            <w:vAlign w:val="bottom"/>
            <w:hideMark/>
          </w:tcPr>
          <w:p w14:paraId="615E468E" w14:textId="77777777" w:rsidR="00F638BC" w:rsidRPr="00F638BC" w:rsidRDefault="00F638BC" w:rsidP="00F638BC">
            <w:pPr>
              <w:jc w:val="center"/>
              <w:rPr>
                <w:rFonts w:ascii="Arial" w:eastAsia="Times New Roman" w:hAnsi="Arial" w:cs="Arial"/>
                <w:color w:val="000000"/>
                <w:sz w:val="22"/>
                <w:szCs w:val="22"/>
                <w:lang w:val="en-GB"/>
              </w:rPr>
            </w:pPr>
          </w:p>
        </w:tc>
      </w:tr>
      <w:tr w:rsidR="00F638BC" w:rsidRPr="00F638BC" w14:paraId="31B5AB09" w14:textId="77777777" w:rsidTr="00F638BC">
        <w:trPr>
          <w:trHeight w:val="260"/>
        </w:trPr>
        <w:tc>
          <w:tcPr>
            <w:tcW w:w="1725" w:type="dxa"/>
            <w:tcBorders>
              <w:top w:val="nil"/>
              <w:left w:val="nil"/>
              <w:bottom w:val="nil"/>
              <w:right w:val="nil"/>
            </w:tcBorders>
            <w:shd w:val="clear" w:color="auto" w:fill="auto"/>
            <w:noWrap/>
            <w:vAlign w:val="bottom"/>
            <w:hideMark/>
          </w:tcPr>
          <w:p w14:paraId="5174B3BB" w14:textId="77777777" w:rsidR="00F638BC" w:rsidRPr="00F638BC" w:rsidRDefault="00F638BC" w:rsidP="00F638BC">
            <w:pPr>
              <w:rPr>
                <w:rFonts w:ascii="Arial" w:eastAsia="Times New Roman" w:hAnsi="Arial" w:cs="Arial"/>
                <w:color w:val="000000"/>
                <w:sz w:val="22"/>
                <w:szCs w:val="22"/>
                <w:lang w:val="en-GB"/>
              </w:rPr>
            </w:pPr>
            <w:r w:rsidRPr="00F638BC">
              <w:rPr>
                <w:rFonts w:ascii="Arial" w:eastAsia="Times New Roman" w:hAnsi="Arial" w:cs="Arial"/>
                <w:color w:val="000000"/>
                <w:sz w:val="22"/>
                <w:szCs w:val="22"/>
                <w:lang w:val="en-GB"/>
              </w:rPr>
              <w:t>CV</w:t>
            </w:r>
          </w:p>
        </w:tc>
        <w:tc>
          <w:tcPr>
            <w:tcW w:w="1791" w:type="dxa"/>
            <w:tcBorders>
              <w:top w:val="nil"/>
              <w:left w:val="nil"/>
              <w:bottom w:val="nil"/>
              <w:right w:val="nil"/>
            </w:tcBorders>
            <w:shd w:val="clear" w:color="auto" w:fill="auto"/>
            <w:noWrap/>
            <w:vAlign w:val="bottom"/>
            <w:hideMark/>
          </w:tcPr>
          <w:p w14:paraId="051FE5E1" w14:textId="77777777" w:rsidR="00F638BC" w:rsidRPr="00F638BC" w:rsidRDefault="00F638BC" w:rsidP="00F638BC">
            <w:pPr>
              <w:jc w:val="center"/>
              <w:rPr>
                <w:rFonts w:ascii="Arial" w:eastAsia="Times New Roman" w:hAnsi="Arial" w:cs="Arial"/>
                <w:color w:val="000000"/>
                <w:sz w:val="22"/>
                <w:szCs w:val="22"/>
                <w:lang w:val="en-GB"/>
              </w:rPr>
            </w:pPr>
            <w:r w:rsidRPr="00F638BC">
              <w:rPr>
                <w:rFonts w:ascii="Arial" w:eastAsia="Times New Roman" w:hAnsi="Arial" w:cs="Arial"/>
                <w:color w:val="000000"/>
                <w:sz w:val="22"/>
                <w:szCs w:val="22"/>
                <w:lang w:val="en-GB"/>
              </w:rPr>
              <w:t>43040 (100)</w:t>
            </w:r>
          </w:p>
        </w:tc>
        <w:tc>
          <w:tcPr>
            <w:tcW w:w="1862" w:type="dxa"/>
            <w:tcBorders>
              <w:top w:val="nil"/>
              <w:left w:val="nil"/>
              <w:bottom w:val="nil"/>
              <w:right w:val="nil"/>
            </w:tcBorders>
            <w:shd w:val="clear" w:color="auto" w:fill="auto"/>
            <w:noWrap/>
            <w:vAlign w:val="bottom"/>
            <w:hideMark/>
          </w:tcPr>
          <w:p w14:paraId="33C28D28" w14:textId="77777777" w:rsidR="00F638BC" w:rsidRPr="00F638BC" w:rsidRDefault="00F638BC" w:rsidP="00F638BC">
            <w:pPr>
              <w:jc w:val="center"/>
              <w:rPr>
                <w:rFonts w:ascii="Arial" w:eastAsia="Times New Roman" w:hAnsi="Arial" w:cs="Arial"/>
                <w:color w:val="000000"/>
                <w:sz w:val="22"/>
                <w:szCs w:val="22"/>
                <w:lang w:val="en-GB"/>
              </w:rPr>
            </w:pPr>
            <w:r w:rsidRPr="00F638BC">
              <w:rPr>
                <w:rFonts w:ascii="Arial" w:eastAsia="Times New Roman" w:hAnsi="Arial" w:cs="Arial"/>
                <w:color w:val="000000"/>
                <w:sz w:val="22"/>
                <w:szCs w:val="22"/>
                <w:lang w:val="en-GB"/>
              </w:rPr>
              <w:t>26059 (100)</w:t>
            </w:r>
          </w:p>
        </w:tc>
        <w:tc>
          <w:tcPr>
            <w:tcW w:w="2142" w:type="dxa"/>
            <w:tcBorders>
              <w:top w:val="nil"/>
              <w:left w:val="nil"/>
              <w:bottom w:val="nil"/>
              <w:right w:val="nil"/>
            </w:tcBorders>
            <w:shd w:val="clear" w:color="auto" w:fill="auto"/>
            <w:noWrap/>
            <w:vAlign w:val="bottom"/>
            <w:hideMark/>
          </w:tcPr>
          <w:p w14:paraId="49ADF5A6" w14:textId="77777777" w:rsidR="00F638BC" w:rsidRPr="00F638BC" w:rsidRDefault="00F638BC" w:rsidP="00F638BC">
            <w:pPr>
              <w:jc w:val="center"/>
              <w:rPr>
                <w:rFonts w:ascii="Arial" w:eastAsia="Times New Roman" w:hAnsi="Arial" w:cs="Arial"/>
                <w:color w:val="000000"/>
                <w:sz w:val="22"/>
                <w:szCs w:val="22"/>
                <w:lang w:val="en-GB"/>
              </w:rPr>
            </w:pPr>
            <w:r w:rsidRPr="00F638BC">
              <w:rPr>
                <w:rFonts w:ascii="Arial" w:eastAsia="Times New Roman" w:hAnsi="Arial" w:cs="Arial"/>
                <w:color w:val="000000"/>
                <w:sz w:val="22"/>
                <w:szCs w:val="22"/>
                <w:lang w:val="en-GB"/>
              </w:rPr>
              <w:t>69099 (100)</w:t>
            </w:r>
          </w:p>
        </w:tc>
      </w:tr>
      <w:tr w:rsidR="00F638BC" w:rsidRPr="00F638BC" w14:paraId="224D3160" w14:textId="77777777" w:rsidTr="00F638BC">
        <w:trPr>
          <w:trHeight w:val="260"/>
        </w:trPr>
        <w:tc>
          <w:tcPr>
            <w:tcW w:w="1725" w:type="dxa"/>
            <w:tcBorders>
              <w:top w:val="nil"/>
              <w:left w:val="nil"/>
              <w:bottom w:val="nil"/>
              <w:right w:val="nil"/>
            </w:tcBorders>
            <w:shd w:val="clear" w:color="auto" w:fill="auto"/>
            <w:noWrap/>
            <w:vAlign w:val="bottom"/>
            <w:hideMark/>
          </w:tcPr>
          <w:p w14:paraId="216F47EC" w14:textId="77777777" w:rsidR="00F638BC" w:rsidRPr="00F638BC" w:rsidRDefault="00F638BC" w:rsidP="00F638BC">
            <w:pPr>
              <w:rPr>
                <w:rFonts w:ascii="Arial" w:eastAsia="Times New Roman" w:hAnsi="Arial" w:cs="Arial"/>
                <w:color w:val="000000"/>
                <w:sz w:val="22"/>
                <w:szCs w:val="22"/>
                <w:lang w:val="en-GB"/>
              </w:rPr>
            </w:pPr>
            <w:r w:rsidRPr="00F638BC">
              <w:rPr>
                <w:rFonts w:ascii="Arial" w:eastAsia="Times New Roman" w:hAnsi="Arial" w:cs="Arial"/>
                <w:color w:val="000000"/>
                <w:sz w:val="22"/>
                <w:szCs w:val="22"/>
                <w:lang w:val="en-GB"/>
              </w:rPr>
              <w:t>CT only</w:t>
            </w:r>
          </w:p>
        </w:tc>
        <w:tc>
          <w:tcPr>
            <w:tcW w:w="1791" w:type="dxa"/>
            <w:tcBorders>
              <w:top w:val="nil"/>
              <w:left w:val="nil"/>
              <w:bottom w:val="nil"/>
              <w:right w:val="nil"/>
            </w:tcBorders>
            <w:shd w:val="clear" w:color="auto" w:fill="auto"/>
            <w:noWrap/>
            <w:vAlign w:val="bottom"/>
            <w:hideMark/>
          </w:tcPr>
          <w:p w14:paraId="4526DF6F" w14:textId="77777777" w:rsidR="00F638BC" w:rsidRPr="00F638BC" w:rsidRDefault="00F638BC" w:rsidP="00F638BC">
            <w:pPr>
              <w:jc w:val="center"/>
              <w:rPr>
                <w:rFonts w:ascii="Arial" w:eastAsia="Times New Roman" w:hAnsi="Arial" w:cs="Arial"/>
                <w:color w:val="000000"/>
                <w:sz w:val="22"/>
                <w:szCs w:val="22"/>
                <w:lang w:val="en-GB"/>
              </w:rPr>
            </w:pPr>
            <w:r w:rsidRPr="00F638BC">
              <w:rPr>
                <w:rFonts w:ascii="Arial" w:eastAsia="Times New Roman" w:hAnsi="Arial" w:cs="Arial"/>
                <w:color w:val="000000"/>
                <w:sz w:val="22"/>
                <w:szCs w:val="22"/>
                <w:lang w:val="en-GB"/>
              </w:rPr>
              <w:t>13330 (30.97)</w:t>
            </w:r>
          </w:p>
        </w:tc>
        <w:tc>
          <w:tcPr>
            <w:tcW w:w="1862" w:type="dxa"/>
            <w:tcBorders>
              <w:top w:val="nil"/>
              <w:left w:val="nil"/>
              <w:bottom w:val="nil"/>
              <w:right w:val="nil"/>
            </w:tcBorders>
            <w:shd w:val="clear" w:color="auto" w:fill="auto"/>
            <w:noWrap/>
            <w:vAlign w:val="bottom"/>
            <w:hideMark/>
          </w:tcPr>
          <w:p w14:paraId="7F566FB9" w14:textId="77777777" w:rsidR="00F638BC" w:rsidRPr="00F638BC" w:rsidRDefault="00F638BC" w:rsidP="00F638BC">
            <w:pPr>
              <w:jc w:val="center"/>
              <w:rPr>
                <w:rFonts w:ascii="Arial" w:eastAsia="Times New Roman" w:hAnsi="Arial" w:cs="Arial"/>
                <w:color w:val="000000"/>
                <w:sz w:val="22"/>
                <w:szCs w:val="22"/>
                <w:lang w:val="en-GB"/>
              </w:rPr>
            </w:pPr>
            <w:r w:rsidRPr="00F638BC">
              <w:rPr>
                <w:rFonts w:ascii="Arial" w:eastAsia="Times New Roman" w:hAnsi="Arial" w:cs="Arial"/>
                <w:color w:val="000000"/>
                <w:sz w:val="22"/>
                <w:szCs w:val="22"/>
                <w:lang w:val="en-GB"/>
              </w:rPr>
              <w:t>3567 (13.68)</w:t>
            </w:r>
          </w:p>
        </w:tc>
        <w:tc>
          <w:tcPr>
            <w:tcW w:w="2142" w:type="dxa"/>
            <w:tcBorders>
              <w:top w:val="nil"/>
              <w:left w:val="nil"/>
              <w:bottom w:val="nil"/>
              <w:right w:val="nil"/>
            </w:tcBorders>
            <w:shd w:val="clear" w:color="auto" w:fill="auto"/>
            <w:noWrap/>
            <w:vAlign w:val="bottom"/>
            <w:hideMark/>
          </w:tcPr>
          <w:p w14:paraId="32091A92" w14:textId="77777777" w:rsidR="00F638BC" w:rsidRPr="00F638BC" w:rsidRDefault="00F638BC" w:rsidP="00F638BC">
            <w:pPr>
              <w:jc w:val="center"/>
              <w:rPr>
                <w:rFonts w:ascii="Arial" w:eastAsia="Times New Roman" w:hAnsi="Arial" w:cs="Arial"/>
                <w:color w:val="000000"/>
                <w:sz w:val="22"/>
                <w:szCs w:val="22"/>
                <w:lang w:val="en-GB"/>
              </w:rPr>
            </w:pPr>
            <w:r w:rsidRPr="00F638BC">
              <w:rPr>
                <w:rFonts w:ascii="Arial" w:eastAsia="Times New Roman" w:hAnsi="Arial" w:cs="Arial"/>
                <w:color w:val="000000"/>
                <w:sz w:val="22"/>
                <w:szCs w:val="22"/>
                <w:lang w:val="en-GB"/>
              </w:rPr>
              <w:t>16897 (24.45)</w:t>
            </w:r>
          </w:p>
        </w:tc>
      </w:tr>
      <w:tr w:rsidR="00F638BC" w:rsidRPr="00F638BC" w14:paraId="65A96BB1" w14:textId="77777777" w:rsidTr="00F638BC">
        <w:trPr>
          <w:trHeight w:val="260"/>
        </w:trPr>
        <w:tc>
          <w:tcPr>
            <w:tcW w:w="1725" w:type="dxa"/>
            <w:tcBorders>
              <w:top w:val="nil"/>
              <w:left w:val="nil"/>
              <w:bottom w:val="nil"/>
              <w:right w:val="nil"/>
            </w:tcBorders>
            <w:shd w:val="clear" w:color="auto" w:fill="auto"/>
            <w:noWrap/>
            <w:vAlign w:val="bottom"/>
            <w:hideMark/>
          </w:tcPr>
          <w:p w14:paraId="066BFDA8" w14:textId="77777777" w:rsidR="00F638BC" w:rsidRPr="00F638BC" w:rsidRDefault="00F638BC" w:rsidP="00F638BC">
            <w:pPr>
              <w:rPr>
                <w:rFonts w:ascii="Arial" w:eastAsia="Times New Roman" w:hAnsi="Arial" w:cs="Arial"/>
                <w:color w:val="000000"/>
                <w:sz w:val="22"/>
                <w:szCs w:val="22"/>
                <w:lang w:val="en-GB"/>
              </w:rPr>
            </w:pPr>
            <w:r w:rsidRPr="00F638BC">
              <w:rPr>
                <w:rFonts w:ascii="Arial" w:eastAsia="Times New Roman" w:hAnsi="Arial" w:cs="Arial"/>
                <w:color w:val="000000"/>
                <w:sz w:val="22"/>
                <w:szCs w:val="22"/>
                <w:lang w:val="en-GB"/>
              </w:rPr>
              <w:t>SA only</w:t>
            </w:r>
          </w:p>
        </w:tc>
        <w:tc>
          <w:tcPr>
            <w:tcW w:w="1791" w:type="dxa"/>
            <w:tcBorders>
              <w:top w:val="nil"/>
              <w:left w:val="nil"/>
              <w:bottom w:val="nil"/>
              <w:right w:val="nil"/>
            </w:tcBorders>
            <w:shd w:val="clear" w:color="auto" w:fill="auto"/>
            <w:noWrap/>
            <w:vAlign w:val="bottom"/>
            <w:hideMark/>
          </w:tcPr>
          <w:p w14:paraId="77EEB7F8" w14:textId="77777777" w:rsidR="00F638BC" w:rsidRPr="00F638BC" w:rsidRDefault="00F638BC" w:rsidP="00F638BC">
            <w:pPr>
              <w:jc w:val="center"/>
              <w:rPr>
                <w:rFonts w:ascii="Arial" w:eastAsia="Times New Roman" w:hAnsi="Arial" w:cs="Arial"/>
                <w:color w:val="000000"/>
                <w:sz w:val="22"/>
                <w:szCs w:val="22"/>
                <w:lang w:val="en-GB"/>
              </w:rPr>
            </w:pPr>
            <w:r w:rsidRPr="00F638BC">
              <w:rPr>
                <w:rFonts w:ascii="Arial" w:eastAsia="Times New Roman" w:hAnsi="Arial" w:cs="Arial"/>
                <w:color w:val="000000"/>
                <w:sz w:val="22"/>
                <w:szCs w:val="22"/>
                <w:lang w:val="en-GB"/>
              </w:rPr>
              <w:t>7985 (18.55)</w:t>
            </w:r>
          </w:p>
        </w:tc>
        <w:tc>
          <w:tcPr>
            <w:tcW w:w="1862" w:type="dxa"/>
            <w:tcBorders>
              <w:top w:val="nil"/>
              <w:left w:val="nil"/>
              <w:bottom w:val="nil"/>
              <w:right w:val="nil"/>
            </w:tcBorders>
            <w:shd w:val="clear" w:color="auto" w:fill="auto"/>
            <w:noWrap/>
            <w:vAlign w:val="bottom"/>
            <w:hideMark/>
          </w:tcPr>
          <w:p w14:paraId="1C14B02A" w14:textId="77777777" w:rsidR="00F638BC" w:rsidRPr="00F638BC" w:rsidRDefault="00F638BC" w:rsidP="00F638BC">
            <w:pPr>
              <w:jc w:val="center"/>
              <w:rPr>
                <w:rFonts w:ascii="Arial" w:eastAsia="Times New Roman" w:hAnsi="Arial" w:cs="Arial"/>
                <w:color w:val="000000"/>
                <w:sz w:val="22"/>
                <w:szCs w:val="22"/>
                <w:lang w:val="en-GB"/>
              </w:rPr>
            </w:pPr>
            <w:r w:rsidRPr="00F638BC">
              <w:rPr>
                <w:rFonts w:ascii="Arial" w:eastAsia="Times New Roman" w:hAnsi="Arial" w:cs="Arial"/>
                <w:color w:val="000000"/>
                <w:sz w:val="22"/>
                <w:szCs w:val="22"/>
                <w:lang w:val="en-GB"/>
              </w:rPr>
              <w:t>4004 (15.36)</w:t>
            </w:r>
          </w:p>
        </w:tc>
        <w:tc>
          <w:tcPr>
            <w:tcW w:w="2142" w:type="dxa"/>
            <w:tcBorders>
              <w:top w:val="nil"/>
              <w:left w:val="nil"/>
              <w:bottom w:val="nil"/>
              <w:right w:val="nil"/>
            </w:tcBorders>
            <w:shd w:val="clear" w:color="auto" w:fill="auto"/>
            <w:noWrap/>
            <w:vAlign w:val="bottom"/>
            <w:hideMark/>
          </w:tcPr>
          <w:p w14:paraId="60B6F387" w14:textId="77777777" w:rsidR="00F638BC" w:rsidRPr="00F638BC" w:rsidRDefault="00F638BC" w:rsidP="00F638BC">
            <w:pPr>
              <w:jc w:val="center"/>
              <w:rPr>
                <w:rFonts w:ascii="Arial" w:eastAsia="Times New Roman" w:hAnsi="Arial" w:cs="Arial"/>
                <w:color w:val="000000"/>
                <w:sz w:val="22"/>
                <w:szCs w:val="22"/>
                <w:lang w:val="en-GB"/>
              </w:rPr>
            </w:pPr>
            <w:r w:rsidRPr="00F638BC">
              <w:rPr>
                <w:rFonts w:ascii="Arial" w:eastAsia="Times New Roman" w:hAnsi="Arial" w:cs="Arial"/>
                <w:color w:val="000000"/>
                <w:sz w:val="22"/>
                <w:szCs w:val="22"/>
                <w:lang w:val="en-GB"/>
              </w:rPr>
              <w:t>11989 (17.35)</w:t>
            </w:r>
          </w:p>
        </w:tc>
      </w:tr>
      <w:tr w:rsidR="00F638BC" w:rsidRPr="00F638BC" w14:paraId="5C85227D" w14:textId="77777777" w:rsidTr="00F638BC">
        <w:trPr>
          <w:trHeight w:val="260"/>
        </w:trPr>
        <w:tc>
          <w:tcPr>
            <w:tcW w:w="1725" w:type="dxa"/>
            <w:tcBorders>
              <w:top w:val="nil"/>
              <w:left w:val="nil"/>
              <w:bottom w:val="nil"/>
              <w:right w:val="nil"/>
            </w:tcBorders>
            <w:shd w:val="clear" w:color="auto" w:fill="auto"/>
            <w:noWrap/>
            <w:vAlign w:val="bottom"/>
            <w:hideMark/>
          </w:tcPr>
          <w:p w14:paraId="2F95437D" w14:textId="77777777" w:rsidR="00F638BC" w:rsidRPr="00F638BC" w:rsidRDefault="00F638BC" w:rsidP="00F638BC">
            <w:pPr>
              <w:rPr>
                <w:rFonts w:ascii="Arial" w:eastAsia="Times New Roman" w:hAnsi="Arial" w:cs="Arial"/>
                <w:color w:val="000000"/>
                <w:sz w:val="22"/>
                <w:szCs w:val="22"/>
                <w:lang w:val="en-GB"/>
              </w:rPr>
            </w:pPr>
            <w:r w:rsidRPr="00F638BC">
              <w:rPr>
                <w:rFonts w:ascii="Arial" w:eastAsia="Times New Roman" w:hAnsi="Arial" w:cs="Arial"/>
                <w:color w:val="000000"/>
                <w:sz w:val="22"/>
                <w:szCs w:val="22"/>
                <w:lang w:val="en-GB"/>
              </w:rPr>
              <w:t>CT &amp; SA</w:t>
            </w:r>
          </w:p>
        </w:tc>
        <w:tc>
          <w:tcPr>
            <w:tcW w:w="1791" w:type="dxa"/>
            <w:tcBorders>
              <w:top w:val="nil"/>
              <w:left w:val="nil"/>
              <w:bottom w:val="nil"/>
              <w:right w:val="nil"/>
            </w:tcBorders>
            <w:shd w:val="clear" w:color="auto" w:fill="auto"/>
            <w:noWrap/>
            <w:vAlign w:val="bottom"/>
            <w:hideMark/>
          </w:tcPr>
          <w:p w14:paraId="0C4AD241" w14:textId="77777777" w:rsidR="00F638BC" w:rsidRPr="00F638BC" w:rsidRDefault="00F638BC" w:rsidP="00F638BC">
            <w:pPr>
              <w:jc w:val="center"/>
              <w:rPr>
                <w:rFonts w:ascii="Arial" w:eastAsia="Times New Roman" w:hAnsi="Arial" w:cs="Arial"/>
                <w:color w:val="000000"/>
                <w:sz w:val="22"/>
                <w:szCs w:val="22"/>
                <w:lang w:val="en-GB"/>
              </w:rPr>
            </w:pPr>
            <w:r w:rsidRPr="00F638BC">
              <w:rPr>
                <w:rFonts w:ascii="Arial" w:eastAsia="Times New Roman" w:hAnsi="Arial" w:cs="Arial"/>
                <w:color w:val="000000"/>
                <w:sz w:val="22"/>
                <w:szCs w:val="22"/>
                <w:lang w:val="en-GB"/>
              </w:rPr>
              <w:t>1423 (3.30)</w:t>
            </w:r>
          </w:p>
        </w:tc>
        <w:tc>
          <w:tcPr>
            <w:tcW w:w="1862" w:type="dxa"/>
            <w:tcBorders>
              <w:top w:val="nil"/>
              <w:left w:val="nil"/>
              <w:bottom w:val="nil"/>
              <w:right w:val="nil"/>
            </w:tcBorders>
            <w:shd w:val="clear" w:color="auto" w:fill="auto"/>
            <w:noWrap/>
            <w:vAlign w:val="bottom"/>
            <w:hideMark/>
          </w:tcPr>
          <w:p w14:paraId="2D70B1CD" w14:textId="77777777" w:rsidR="00F638BC" w:rsidRPr="00F638BC" w:rsidRDefault="00F638BC" w:rsidP="00F638BC">
            <w:pPr>
              <w:jc w:val="center"/>
              <w:rPr>
                <w:rFonts w:ascii="Arial" w:eastAsia="Times New Roman" w:hAnsi="Arial" w:cs="Arial"/>
                <w:color w:val="000000"/>
                <w:sz w:val="22"/>
                <w:szCs w:val="22"/>
                <w:lang w:val="en-GB"/>
              </w:rPr>
            </w:pPr>
            <w:r w:rsidRPr="00F638BC">
              <w:rPr>
                <w:rFonts w:ascii="Arial" w:eastAsia="Times New Roman" w:hAnsi="Arial" w:cs="Arial"/>
                <w:color w:val="000000"/>
                <w:sz w:val="22"/>
                <w:szCs w:val="22"/>
                <w:lang w:val="en-GB"/>
              </w:rPr>
              <w:t>135 (0.51)</w:t>
            </w:r>
          </w:p>
        </w:tc>
        <w:tc>
          <w:tcPr>
            <w:tcW w:w="2142" w:type="dxa"/>
            <w:tcBorders>
              <w:top w:val="nil"/>
              <w:left w:val="nil"/>
              <w:bottom w:val="nil"/>
              <w:right w:val="nil"/>
            </w:tcBorders>
            <w:shd w:val="clear" w:color="auto" w:fill="auto"/>
            <w:noWrap/>
            <w:vAlign w:val="bottom"/>
            <w:hideMark/>
          </w:tcPr>
          <w:p w14:paraId="5761C310" w14:textId="77777777" w:rsidR="00F638BC" w:rsidRPr="00F638BC" w:rsidRDefault="00F638BC" w:rsidP="00F638BC">
            <w:pPr>
              <w:jc w:val="center"/>
              <w:rPr>
                <w:rFonts w:ascii="Arial" w:eastAsia="Times New Roman" w:hAnsi="Arial" w:cs="Arial"/>
                <w:color w:val="000000"/>
                <w:sz w:val="22"/>
                <w:szCs w:val="22"/>
                <w:lang w:val="en-GB"/>
              </w:rPr>
            </w:pPr>
            <w:r w:rsidRPr="00F638BC">
              <w:rPr>
                <w:rFonts w:ascii="Arial" w:eastAsia="Times New Roman" w:hAnsi="Arial" w:cs="Arial"/>
                <w:color w:val="000000"/>
                <w:sz w:val="22"/>
                <w:szCs w:val="22"/>
                <w:lang w:val="en-GB"/>
              </w:rPr>
              <w:t>1558 (2.25)</w:t>
            </w:r>
          </w:p>
        </w:tc>
      </w:tr>
      <w:tr w:rsidR="00F638BC" w:rsidRPr="00F638BC" w14:paraId="2B1D2697" w14:textId="77777777" w:rsidTr="00F638BC">
        <w:trPr>
          <w:trHeight w:val="260"/>
        </w:trPr>
        <w:tc>
          <w:tcPr>
            <w:tcW w:w="1725" w:type="dxa"/>
            <w:tcBorders>
              <w:top w:val="nil"/>
              <w:left w:val="nil"/>
              <w:bottom w:val="nil"/>
              <w:right w:val="nil"/>
            </w:tcBorders>
            <w:shd w:val="clear" w:color="auto" w:fill="auto"/>
            <w:noWrap/>
            <w:vAlign w:val="bottom"/>
            <w:hideMark/>
          </w:tcPr>
          <w:p w14:paraId="7A8901E7" w14:textId="77777777" w:rsidR="00F638BC" w:rsidRPr="00F638BC" w:rsidRDefault="00F638BC" w:rsidP="00F638BC">
            <w:pPr>
              <w:rPr>
                <w:rFonts w:ascii="Arial" w:eastAsia="Times New Roman" w:hAnsi="Arial" w:cs="Arial"/>
                <w:color w:val="000000"/>
                <w:sz w:val="22"/>
                <w:szCs w:val="22"/>
                <w:lang w:val="en-GB"/>
              </w:rPr>
            </w:pPr>
            <w:r w:rsidRPr="00F638BC">
              <w:rPr>
                <w:rFonts w:ascii="Arial" w:eastAsia="Times New Roman" w:hAnsi="Arial" w:cs="Arial"/>
                <w:color w:val="000000"/>
                <w:sz w:val="22"/>
                <w:szCs w:val="22"/>
                <w:lang w:val="en-GB"/>
              </w:rPr>
              <w:t>CV explained</w:t>
            </w:r>
          </w:p>
        </w:tc>
        <w:tc>
          <w:tcPr>
            <w:tcW w:w="1791" w:type="dxa"/>
            <w:tcBorders>
              <w:top w:val="nil"/>
              <w:left w:val="nil"/>
              <w:bottom w:val="nil"/>
              <w:right w:val="nil"/>
            </w:tcBorders>
            <w:shd w:val="clear" w:color="auto" w:fill="auto"/>
            <w:noWrap/>
            <w:vAlign w:val="bottom"/>
            <w:hideMark/>
          </w:tcPr>
          <w:p w14:paraId="751AFBB7" w14:textId="77777777" w:rsidR="00F638BC" w:rsidRPr="00F638BC" w:rsidRDefault="00F638BC" w:rsidP="00F638BC">
            <w:pPr>
              <w:jc w:val="center"/>
              <w:rPr>
                <w:rFonts w:ascii="Arial" w:eastAsia="Times New Roman" w:hAnsi="Arial" w:cs="Arial"/>
                <w:color w:val="000000"/>
                <w:sz w:val="22"/>
                <w:szCs w:val="22"/>
                <w:lang w:val="en-GB"/>
              </w:rPr>
            </w:pPr>
            <w:r w:rsidRPr="00F638BC">
              <w:rPr>
                <w:rFonts w:ascii="Arial" w:eastAsia="Times New Roman" w:hAnsi="Arial" w:cs="Arial"/>
                <w:color w:val="000000"/>
                <w:sz w:val="22"/>
                <w:szCs w:val="22"/>
                <w:lang w:val="en-GB"/>
              </w:rPr>
              <w:t>22738 (52.82)</w:t>
            </w:r>
          </w:p>
        </w:tc>
        <w:tc>
          <w:tcPr>
            <w:tcW w:w="1862" w:type="dxa"/>
            <w:tcBorders>
              <w:top w:val="nil"/>
              <w:left w:val="nil"/>
              <w:bottom w:val="nil"/>
              <w:right w:val="nil"/>
            </w:tcBorders>
            <w:shd w:val="clear" w:color="auto" w:fill="auto"/>
            <w:noWrap/>
            <w:vAlign w:val="bottom"/>
            <w:hideMark/>
          </w:tcPr>
          <w:p w14:paraId="2737A4FA" w14:textId="77777777" w:rsidR="00F638BC" w:rsidRPr="00F638BC" w:rsidRDefault="00F638BC" w:rsidP="00F638BC">
            <w:pPr>
              <w:jc w:val="center"/>
              <w:rPr>
                <w:rFonts w:ascii="Arial" w:eastAsia="Times New Roman" w:hAnsi="Arial" w:cs="Arial"/>
                <w:color w:val="000000"/>
                <w:sz w:val="22"/>
                <w:szCs w:val="22"/>
                <w:lang w:val="en-GB"/>
              </w:rPr>
            </w:pPr>
            <w:r w:rsidRPr="00F638BC">
              <w:rPr>
                <w:rFonts w:ascii="Arial" w:eastAsia="Times New Roman" w:hAnsi="Arial" w:cs="Arial"/>
                <w:color w:val="000000"/>
                <w:sz w:val="22"/>
                <w:szCs w:val="22"/>
                <w:lang w:val="en-GB"/>
              </w:rPr>
              <w:t>7706 (29.57)</w:t>
            </w:r>
          </w:p>
        </w:tc>
        <w:tc>
          <w:tcPr>
            <w:tcW w:w="2142" w:type="dxa"/>
            <w:tcBorders>
              <w:top w:val="nil"/>
              <w:left w:val="nil"/>
              <w:bottom w:val="nil"/>
              <w:right w:val="nil"/>
            </w:tcBorders>
            <w:shd w:val="clear" w:color="auto" w:fill="auto"/>
            <w:noWrap/>
            <w:vAlign w:val="bottom"/>
            <w:hideMark/>
          </w:tcPr>
          <w:p w14:paraId="1CC0CA49" w14:textId="77777777" w:rsidR="00F638BC" w:rsidRPr="00F638BC" w:rsidRDefault="00F638BC" w:rsidP="00F638BC">
            <w:pPr>
              <w:jc w:val="center"/>
              <w:rPr>
                <w:rFonts w:ascii="Arial" w:eastAsia="Times New Roman" w:hAnsi="Arial" w:cs="Arial"/>
                <w:color w:val="000000"/>
                <w:sz w:val="22"/>
                <w:szCs w:val="22"/>
                <w:lang w:val="en-GB"/>
              </w:rPr>
            </w:pPr>
            <w:r w:rsidRPr="00F638BC">
              <w:rPr>
                <w:rFonts w:ascii="Arial" w:eastAsia="Times New Roman" w:hAnsi="Arial" w:cs="Arial"/>
                <w:color w:val="000000"/>
                <w:sz w:val="22"/>
                <w:szCs w:val="22"/>
                <w:lang w:val="en-GB"/>
              </w:rPr>
              <w:t>30444 (44.05)</w:t>
            </w:r>
          </w:p>
        </w:tc>
      </w:tr>
      <w:tr w:rsidR="00F638BC" w:rsidRPr="00F638BC" w14:paraId="6FBA5640" w14:textId="77777777" w:rsidTr="00F638BC">
        <w:trPr>
          <w:trHeight w:val="260"/>
        </w:trPr>
        <w:tc>
          <w:tcPr>
            <w:tcW w:w="1725" w:type="dxa"/>
            <w:tcBorders>
              <w:top w:val="nil"/>
              <w:left w:val="nil"/>
              <w:bottom w:val="nil"/>
              <w:right w:val="nil"/>
            </w:tcBorders>
            <w:shd w:val="clear" w:color="auto" w:fill="auto"/>
            <w:noWrap/>
            <w:vAlign w:val="bottom"/>
            <w:hideMark/>
          </w:tcPr>
          <w:p w14:paraId="185E410E" w14:textId="77777777" w:rsidR="00F638BC" w:rsidRPr="00F638BC" w:rsidRDefault="00F638BC" w:rsidP="00F638BC">
            <w:pPr>
              <w:rPr>
                <w:rFonts w:ascii="Arial" w:eastAsia="Times New Roman" w:hAnsi="Arial" w:cs="Arial"/>
                <w:color w:val="000000"/>
                <w:sz w:val="22"/>
                <w:szCs w:val="22"/>
                <w:lang w:val="en-GB"/>
              </w:rPr>
            </w:pPr>
            <w:r w:rsidRPr="00F638BC">
              <w:rPr>
                <w:rFonts w:ascii="Arial" w:eastAsia="Times New Roman" w:hAnsi="Arial" w:cs="Arial"/>
                <w:color w:val="000000"/>
                <w:sz w:val="22"/>
                <w:szCs w:val="22"/>
                <w:lang w:val="en-GB"/>
              </w:rPr>
              <w:t>CV unexplained</w:t>
            </w:r>
          </w:p>
        </w:tc>
        <w:tc>
          <w:tcPr>
            <w:tcW w:w="1791" w:type="dxa"/>
            <w:tcBorders>
              <w:top w:val="nil"/>
              <w:left w:val="nil"/>
              <w:bottom w:val="nil"/>
              <w:right w:val="nil"/>
            </w:tcBorders>
            <w:shd w:val="clear" w:color="auto" w:fill="auto"/>
            <w:noWrap/>
            <w:vAlign w:val="bottom"/>
            <w:hideMark/>
          </w:tcPr>
          <w:p w14:paraId="72F27386" w14:textId="77777777" w:rsidR="00F638BC" w:rsidRPr="00F638BC" w:rsidRDefault="00F638BC" w:rsidP="00F638BC">
            <w:pPr>
              <w:jc w:val="center"/>
              <w:rPr>
                <w:rFonts w:ascii="Arial" w:eastAsia="Times New Roman" w:hAnsi="Arial" w:cs="Arial"/>
                <w:color w:val="000000"/>
                <w:sz w:val="22"/>
                <w:szCs w:val="22"/>
                <w:lang w:val="en-GB"/>
              </w:rPr>
            </w:pPr>
            <w:r w:rsidRPr="00F638BC">
              <w:rPr>
                <w:rFonts w:ascii="Arial" w:eastAsia="Times New Roman" w:hAnsi="Arial" w:cs="Arial"/>
                <w:color w:val="000000"/>
                <w:sz w:val="22"/>
                <w:szCs w:val="22"/>
                <w:lang w:val="en-GB"/>
              </w:rPr>
              <w:t>20302 (47.17)</w:t>
            </w:r>
          </w:p>
        </w:tc>
        <w:tc>
          <w:tcPr>
            <w:tcW w:w="1862" w:type="dxa"/>
            <w:tcBorders>
              <w:top w:val="nil"/>
              <w:left w:val="nil"/>
              <w:bottom w:val="nil"/>
              <w:right w:val="nil"/>
            </w:tcBorders>
            <w:shd w:val="clear" w:color="auto" w:fill="auto"/>
            <w:noWrap/>
            <w:vAlign w:val="bottom"/>
            <w:hideMark/>
          </w:tcPr>
          <w:p w14:paraId="5A46D9C8" w14:textId="77777777" w:rsidR="00F638BC" w:rsidRPr="00F638BC" w:rsidRDefault="00F638BC" w:rsidP="00F638BC">
            <w:pPr>
              <w:jc w:val="center"/>
              <w:rPr>
                <w:rFonts w:ascii="Arial" w:eastAsia="Times New Roman" w:hAnsi="Arial" w:cs="Arial"/>
                <w:color w:val="000000"/>
                <w:sz w:val="22"/>
                <w:szCs w:val="22"/>
                <w:lang w:val="en-GB"/>
              </w:rPr>
            </w:pPr>
            <w:r w:rsidRPr="00F638BC">
              <w:rPr>
                <w:rFonts w:ascii="Arial" w:eastAsia="Times New Roman" w:hAnsi="Arial" w:cs="Arial"/>
                <w:color w:val="000000"/>
                <w:sz w:val="22"/>
                <w:szCs w:val="22"/>
                <w:lang w:val="en-GB"/>
              </w:rPr>
              <w:t>18353 (70.42)</w:t>
            </w:r>
          </w:p>
        </w:tc>
        <w:tc>
          <w:tcPr>
            <w:tcW w:w="2142" w:type="dxa"/>
            <w:tcBorders>
              <w:top w:val="nil"/>
              <w:left w:val="nil"/>
              <w:bottom w:val="nil"/>
              <w:right w:val="nil"/>
            </w:tcBorders>
            <w:shd w:val="clear" w:color="auto" w:fill="auto"/>
            <w:noWrap/>
            <w:vAlign w:val="bottom"/>
            <w:hideMark/>
          </w:tcPr>
          <w:p w14:paraId="6B1DC278" w14:textId="77777777" w:rsidR="00F638BC" w:rsidRPr="00F638BC" w:rsidRDefault="00F638BC" w:rsidP="00F638BC">
            <w:pPr>
              <w:jc w:val="center"/>
              <w:rPr>
                <w:rFonts w:ascii="Arial" w:eastAsia="Times New Roman" w:hAnsi="Arial" w:cs="Arial"/>
                <w:color w:val="000000"/>
                <w:sz w:val="22"/>
                <w:szCs w:val="22"/>
                <w:lang w:val="en-GB"/>
              </w:rPr>
            </w:pPr>
            <w:r w:rsidRPr="00F638BC">
              <w:rPr>
                <w:rFonts w:ascii="Arial" w:eastAsia="Times New Roman" w:hAnsi="Arial" w:cs="Arial"/>
                <w:color w:val="000000"/>
                <w:sz w:val="22"/>
                <w:szCs w:val="22"/>
                <w:lang w:val="en-GB"/>
              </w:rPr>
              <w:t>38655 (55.94)</w:t>
            </w:r>
          </w:p>
        </w:tc>
      </w:tr>
      <w:tr w:rsidR="00F638BC" w:rsidRPr="00F638BC" w14:paraId="1886CA32" w14:textId="77777777" w:rsidTr="00F638BC">
        <w:trPr>
          <w:trHeight w:val="260"/>
        </w:trPr>
        <w:tc>
          <w:tcPr>
            <w:tcW w:w="1725" w:type="dxa"/>
            <w:tcBorders>
              <w:top w:val="nil"/>
              <w:left w:val="nil"/>
              <w:bottom w:val="single" w:sz="4" w:space="0" w:color="auto"/>
              <w:right w:val="nil"/>
            </w:tcBorders>
            <w:shd w:val="clear" w:color="auto" w:fill="auto"/>
            <w:noWrap/>
            <w:vAlign w:val="bottom"/>
            <w:hideMark/>
          </w:tcPr>
          <w:p w14:paraId="5A8BBB60" w14:textId="77777777" w:rsidR="00F638BC" w:rsidRPr="00F638BC" w:rsidRDefault="00F638BC" w:rsidP="00F638BC">
            <w:pPr>
              <w:rPr>
                <w:rFonts w:ascii="Arial" w:eastAsia="Times New Roman" w:hAnsi="Arial" w:cs="Arial"/>
                <w:color w:val="000000"/>
                <w:sz w:val="22"/>
                <w:szCs w:val="22"/>
                <w:lang w:val="en-GB"/>
              </w:rPr>
            </w:pPr>
            <w:r w:rsidRPr="00F638BC">
              <w:rPr>
                <w:rFonts w:ascii="Arial" w:eastAsia="Times New Roman" w:hAnsi="Arial" w:cs="Arial"/>
                <w:color w:val="000000"/>
                <w:sz w:val="22"/>
                <w:szCs w:val="22"/>
                <w:lang w:val="en-GB"/>
              </w:rPr>
              <w:t> </w:t>
            </w:r>
          </w:p>
        </w:tc>
        <w:tc>
          <w:tcPr>
            <w:tcW w:w="1791" w:type="dxa"/>
            <w:tcBorders>
              <w:top w:val="nil"/>
              <w:left w:val="nil"/>
              <w:bottom w:val="single" w:sz="4" w:space="0" w:color="auto"/>
              <w:right w:val="nil"/>
            </w:tcBorders>
            <w:shd w:val="clear" w:color="auto" w:fill="auto"/>
            <w:noWrap/>
            <w:vAlign w:val="bottom"/>
            <w:hideMark/>
          </w:tcPr>
          <w:p w14:paraId="3DA041E5" w14:textId="77777777" w:rsidR="00F638BC" w:rsidRPr="00F638BC" w:rsidRDefault="00F638BC" w:rsidP="00F638BC">
            <w:pPr>
              <w:rPr>
                <w:rFonts w:ascii="Arial" w:eastAsia="Times New Roman" w:hAnsi="Arial" w:cs="Arial"/>
                <w:color w:val="000000"/>
                <w:sz w:val="22"/>
                <w:szCs w:val="22"/>
                <w:lang w:val="en-GB"/>
              </w:rPr>
            </w:pPr>
            <w:r w:rsidRPr="00F638BC">
              <w:rPr>
                <w:rFonts w:ascii="Arial" w:eastAsia="Times New Roman" w:hAnsi="Arial" w:cs="Arial"/>
                <w:color w:val="000000"/>
                <w:sz w:val="22"/>
                <w:szCs w:val="22"/>
                <w:lang w:val="en-GB"/>
              </w:rPr>
              <w:t> </w:t>
            </w:r>
          </w:p>
        </w:tc>
        <w:tc>
          <w:tcPr>
            <w:tcW w:w="1862" w:type="dxa"/>
            <w:tcBorders>
              <w:top w:val="nil"/>
              <w:left w:val="nil"/>
              <w:bottom w:val="single" w:sz="4" w:space="0" w:color="auto"/>
              <w:right w:val="nil"/>
            </w:tcBorders>
            <w:shd w:val="clear" w:color="auto" w:fill="auto"/>
            <w:noWrap/>
            <w:vAlign w:val="bottom"/>
            <w:hideMark/>
          </w:tcPr>
          <w:p w14:paraId="480CB6DF" w14:textId="77777777" w:rsidR="00F638BC" w:rsidRPr="00F638BC" w:rsidRDefault="00F638BC" w:rsidP="00F638BC">
            <w:pPr>
              <w:rPr>
                <w:rFonts w:ascii="Arial" w:eastAsia="Times New Roman" w:hAnsi="Arial" w:cs="Arial"/>
                <w:color w:val="000000"/>
                <w:sz w:val="22"/>
                <w:szCs w:val="22"/>
                <w:lang w:val="en-GB"/>
              </w:rPr>
            </w:pPr>
            <w:r w:rsidRPr="00F638BC">
              <w:rPr>
                <w:rFonts w:ascii="Arial" w:eastAsia="Times New Roman" w:hAnsi="Arial" w:cs="Arial"/>
                <w:color w:val="000000"/>
                <w:sz w:val="22"/>
                <w:szCs w:val="22"/>
                <w:lang w:val="en-GB"/>
              </w:rPr>
              <w:t> </w:t>
            </w:r>
          </w:p>
        </w:tc>
        <w:tc>
          <w:tcPr>
            <w:tcW w:w="2142" w:type="dxa"/>
            <w:tcBorders>
              <w:top w:val="nil"/>
              <w:left w:val="nil"/>
              <w:bottom w:val="single" w:sz="4" w:space="0" w:color="auto"/>
              <w:right w:val="nil"/>
            </w:tcBorders>
            <w:shd w:val="clear" w:color="auto" w:fill="auto"/>
            <w:noWrap/>
            <w:vAlign w:val="bottom"/>
            <w:hideMark/>
          </w:tcPr>
          <w:p w14:paraId="2AD06A32" w14:textId="77777777" w:rsidR="00F638BC" w:rsidRPr="00F638BC" w:rsidRDefault="00F638BC" w:rsidP="00F638BC">
            <w:pPr>
              <w:rPr>
                <w:rFonts w:ascii="Arial" w:eastAsia="Times New Roman" w:hAnsi="Arial" w:cs="Arial"/>
                <w:color w:val="000000"/>
                <w:sz w:val="22"/>
                <w:szCs w:val="22"/>
                <w:lang w:val="en-GB"/>
              </w:rPr>
            </w:pPr>
            <w:r w:rsidRPr="00F638BC">
              <w:rPr>
                <w:rFonts w:ascii="Arial" w:eastAsia="Times New Roman" w:hAnsi="Arial" w:cs="Arial"/>
                <w:color w:val="000000"/>
                <w:sz w:val="22"/>
                <w:szCs w:val="22"/>
                <w:lang w:val="en-GB"/>
              </w:rPr>
              <w:t> </w:t>
            </w:r>
          </w:p>
        </w:tc>
      </w:tr>
      <w:tr w:rsidR="00F638BC" w:rsidRPr="00F638BC" w14:paraId="6E5E2DBA" w14:textId="77777777" w:rsidTr="00F638BC">
        <w:trPr>
          <w:trHeight w:val="260"/>
        </w:trPr>
        <w:tc>
          <w:tcPr>
            <w:tcW w:w="7520" w:type="dxa"/>
            <w:gridSpan w:val="4"/>
            <w:vMerge w:val="restart"/>
            <w:tcBorders>
              <w:top w:val="single" w:sz="4" w:space="0" w:color="auto"/>
              <w:left w:val="nil"/>
              <w:bottom w:val="nil"/>
              <w:right w:val="nil"/>
            </w:tcBorders>
            <w:shd w:val="clear" w:color="auto" w:fill="auto"/>
            <w:hideMark/>
          </w:tcPr>
          <w:p w14:paraId="0607A554" w14:textId="403C0C1B" w:rsidR="00F638BC" w:rsidRPr="00F638BC" w:rsidRDefault="00F638BC" w:rsidP="00F638BC">
            <w:pPr>
              <w:rPr>
                <w:rFonts w:ascii="Arial" w:eastAsia="Times New Roman" w:hAnsi="Arial" w:cs="Arial"/>
                <w:color w:val="000000"/>
                <w:sz w:val="22"/>
                <w:szCs w:val="22"/>
                <w:lang w:val="en-GB"/>
              </w:rPr>
            </w:pPr>
            <w:r w:rsidRPr="00F638BC">
              <w:rPr>
                <w:rFonts w:ascii="Arial" w:eastAsia="Times New Roman" w:hAnsi="Arial" w:cs="Arial"/>
                <w:i/>
                <w:iCs/>
                <w:color w:val="000000"/>
                <w:sz w:val="22"/>
                <w:szCs w:val="22"/>
                <w:lang w:val="en-GB"/>
              </w:rPr>
              <w:t>Note.</w:t>
            </w:r>
            <w:r w:rsidRPr="00F638BC">
              <w:rPr>
                <w:rFonts w:ascii="Arial" w:eastAsia="Times New Roman" w:hAnsi="Arial" w:cs="Arial"/>
                <w:color w:val="000000"/>
                <w:sz w:val="22"/>
                <w:szCs w:val="22"/>
                <w:lang w:val="en-GB"/>
              </w:rPr>
              <w:t xml:space="preserve"> Abbreviations: CT = cortical thickness; SA = surface area; </w:t>
            </w:r>
            <w:r w:rsidRPr="00F638BC">
              <w:rPr>
                <w:rFonts w:ascii="Arial" w:eastAsia="Times New Roman" w:hAnsi="Arial" w:cs="Arial"/>
                <w:color w:val="000000"/>
                <w:sz w:val="22"/>
                <w:szCs w:val="22"/>
                <w:vertAlign w:val="superscript"/>
                <w:lang w:val="en-GB"/>
              </w:rPr>
              <w:t xml:space="preserve">a </w:t>
            </w:r>
            <w:r w:rsidRPr="00F638BC">
              <w:rPr>
                <w:rFonts w:ascii="Arial" w:eastAsia="Times New Roman" w:hAnsi="Arial" w:cs="Arial"/>
                <w:color w:val="000000"/>
                <w:sz w:val="22"/>
                <w:szCs w:val="22"/>
                <w:lang w:val="en-GB"/>
              </w:rPr>
              <w:t xml:space="preserve">= all vertices with significant difference in CT or SA; </w:t>
            </w:r>
            <w:r w:rsidRPr="00F638BC">
              <w:rPr>
                <w:rFonts w:ascii="Arial" w:eastAsia="Times New Roman" w:hAnsi="Arial" w:cs="Arial"/>
                <w:color w:val="000000"/>
                <w:sz w:val="22"/>
                <w:szCs w:val="22"/>
                <w:vertAlign w:val="superscript"/>
                <w:lang w:val="en-GB"/>
              </w:rPr>
              <w:t>b</w:t>
            </w:r>
            <w:r w:rsidRPr="00F638BC">
              <w:rPr>
                <w:rFonts w:ascii="Arial" w:eastAsia="Times New Roman" w:hAnsi="Arial" w:cs="Arial"/>
                <w:color w:val="000000"/>
                <w:sz w:val="22"/>
                <w:szCs w:val="22"/>
                <w:lang w:val="en-GB"/>
              </w:rPr>
              <w:t xml:space="preserve"> = total num</w:t>
            </w:r>
            <w:r>
              <w:rPr>
                <w:rFonts w:ascii="Arial" w:eastAsia="Times New Roman" w:hAnsi="Arial" w:cs="Arial"/>
                <w:color w:val="000000"/>
                <w:sz w:val="22"/>
                <w:szCs w:val="22"/>
                <w:lang w:val="en-GB"/>
              </w:rPr>
              <w:t>b</w:t>
            </w:r>
            <w:r w:rsidRPr="00F638BC">
              <w:rPr>
                <w:rFonts w:ascii="Arial" w:eastAsia="Times New Roman" w:hAnsi="Arial" w:cs="Arial"/>
                <w:color w:val="000000"/>
                <w:sz w:val="22"/>
                <w:szCs w:val="22"/>
                <w:lang w:val="en-GB"/>
              </w:rPr>
              <w:t>er of vertices with significant difference in either CT or SA; CV = cortical volume</w:t>
            </w:r>
          </w:p>
        </w:tc>
      </w:tr>
      <w:tr w:rsidR="00F638BC" w:rsidRPr="00F638BC" w14:paraId="4A312DBB" w14:textId="77777777" w:rsidTr="00F638BC">
        <w:trPr>
          <w:trHeight w:val="800"/>
        </w:trPr>
        <w:tc>
          <w:tcPr>
            <w:tcW w:w="7520" w:type="dxa"/>
            <w:gridSpan w:val="4"/>
            <w:vMerge/>
            <w:tcBorders>
              <w:top w:val="single" w:sz="4" w:space="0" w:color="auto"/>
              <w:left w:val="nil"/>
              <w:bottom w:val="nil"/>
              <w:right w:val="nil"/>
            </w:tcBorders>
            <w:vAlign w:val="center"/>
            <w:hideMark/>
          </w:tcPr>
          <w:p w14:paraId="2E0D2AD6" w14:textId="77777777" w:rsidR="00F638BC" w:rsidRPr="00F638BC" w:rsidRDefault="00F638BC" w:rsidP="00F638BC">
            <w:pPr>
              <w:rPr>
                <w:rFonts w:ascii="Arial" w:eastAsia="Times New Roman" w:hAnsi="Arial" w:cs="Arial"/>
                <w:color w:val="000000"/>
                <w:sz w:val="22"/>
                <w:szCs w:val="22"/>
                <w:lang w:val="en-GB"/>
              </w:rPr>
            </w:pPr>
          </w:p>
        </w:tc>
      </w:tr>
    </w:tbl>
    <w:p w14:paraId="011A6C98" w14:textId="7D43E49C" w:rsidR="00FA4C63" w:rsidRDefault="00FA4C63" w:rsidP="00A263E5">
      <w:pPr>
        <w:spacing w:line="360" w:lineRule="auto"/>
        <w:rPr>
          <w:rFonts w:ascii="Arial" w:hAnsi="Arial" w:cs="Arial"/>
          <w:sz w:val="22"/>
          <w:szCs w:val="22"/>
        </w:rPr>
      </w:pPr>
    </w:p>
    <w:p w14:paraId="5C51DF41" w14:textId="7BC3FD1D" w:rsidR="00CC1243" w:rsidRDefault="00CC1243" w:rsidP="00A263E5">
      <w:pPr>
        <w:spacing w:line="360" w:lineRule="auto"/>
        <w:rPr>
          <w:rFonts w:ascii="Arial" w:hAnsi="Arial" w:cs="Arial"/>
          <w:b/>
          <w:sz w:val="22"/>
          <w:szCs w:val="22"/>
        </w:rPr>
        <w:sectPr w:rsidR="00CC1243" w:rsidSect="008C3C74">
          <w:pgSz w:w="16840" w:h="11901" w:orient="landscape"/>
          <w:pgMar w:top="1440" w:right="1440" w:bottom="1440" w:left="1440" w:header="709" w:footer="709" w:gutter="0"/>
          <w:cols w:space="708"/>
          <w:docGrid w:linePitch="360"/>
        </w:sectPr>
      </w:pPr>
    </w:p>
    <w:p w14:paraId="24697896" w14:textId="28D22B8F" w:rsidR="00CC1243" w:rsidRDefault="00CC1243" w:rsidP="00A263E5">
      <w:pPr>
        <w:spacing w:line="360" w:lineRule="auto"/>
        <w:rPr>
          <w:rFonts w:ascii="Arial" w:hAnsi="Arial" w:cs="Arial"/>
          <w:b/>
          <w:sz w:val="22"/>
          <w:szCs w:val="22"/>
        </w:rPr>
      </w:pPr>
      <w:r w:rsidRPr="00FA4C63">
        <w:rPr>
          <w:rFonts w:ascii="Arial" w:hAnsi="Arial" w:cs="Arial"/>
          <w:b/>
          <w:sz w:val="22"/>
          <w:szCs w:val="22"/>
        </w:rPr>
        <w:lastRenderedPageBreak/>
        <w:t>FIGURE 1</w:t>
      </w:r>
    </w:p>
    <w:p w14:paraId="6378C7B4" w14:textId="542DB6B5" w:rsidR="00CC1243" w:rsidRDefault="00CC1243" w:rsidP="00A263E5">
      <w:pPr>
        <w:spacing w:line="360" w:lineRule="auto"/>
        <w:rPr>
          <w:rFonts w:ascii="Arial" w:hAnsi="Arial" w:cs="Arial"/>
          <w:b/>
          <w:sz w:val="22"/>
          <w:szCs w:val="22"/>
        </w:rPr>
      </w:pPr>
    </w:p>
    <w:p w14:paraId="4CC53042" w14:textId="43D93981" w:rsidR="005F3681" w:rsidRDefault="00CC1243" w:rsidP="00A263E5">
      <w:pPr>
        <w:spacing w:line="360" w:lineRule="auto"/>
        <w:rPr>
          <w:rFonts w:ascii="Arial" w:hAnsi="Arial" w:cs="Arial"/>
          <w:b/>
          <w:sz w:val="22"/>
          <w:szCs w:val="22"/>
        </w:rPr>
        <w:sectPr w:rsidR="005F3681" w:rsidSect="00CC1243">
          <w:pgSz w:w="11901" w:h="16840"/>
          <w:pgMar w:top="1440" w:right="1440" w:bottom="1440" w:left="1440" w:header="709" w:footer="709" w:gutter="0"/>
          <w:cols w:space="708"/>
          <w:docGrid w:linePitch="360"/>
        </w:sectPr>
      </w:pPr>
      <w:r w:rsidRPr="00CC1243">
        <w:rPr>
          <w:rFonts w:ascii="Arial" w:hAnsi="Arial" w:cs="Arial"/>
          <w:b/>
          <w:noProof/>
          <w:sz w:val="22"/>
          <w:szCs w:val="22"/>
          <w:lang w:eastAsia="nl-NL"/>
        </w:rPr>
        <w:drawing>
          <wp:inline distT="0" distB="0" distL="0" distR="0" wp14:anchorId="76AC0E00" wp14:editId="4D185C5A">
            <wp:extent cx="5959887" cy="7167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jpg"/>
                    <pic:cNvPicPr/>
                  </pic:nvPicPr>
                  <pic:blipFill>
                    <a:blip r:embed="rId13">
                      <a:extLst>
                        <a:ext uri="{28A0092B-C50C-407E-A947-70E740481C1C}">
                          <a14:useLocalDpi xmlns:a14="http://schemas.microsoft.com/office/drawing/2010/main" val="0"/>
                        </a:ext>
                      </a:extLst>
                    </a:blip>
                    <a:stretch>
                      <a:fillRect/>
                    </a:stretch>
                  </pic:blipFill>
                  <pic:spPr>
                    <a:xfrm>
                      <a:off x="0" y="0"/>
                      <a:ext cx="5959887" cy="7167600"/>
                    </a:xfrm>
                    <a:prstGeom prst="rect">
                      <a:avLst/>
                    </a:prstGeom>
                  </pic:spPr>
                </pic:pic>
              </a:graphicData>
            </a:graphic>
          </wp:inline>
        </w:drawing>
      </w:r>
    </w:p>
    <w:p w14:paraId="4F57CD7B" w14:textId="5EB60ED0" w:rsidR="00F951AA" w:rsidRDefault="00911DAF" w:rsidP="00A263E5">
      <w:pPr>
        <w:spacing w:line="360" w:lineRule="auto"/>
        <w:rPr>
          <w:rFonts w:ascii="Arial" w:hAnsi="Arial" w:cs="Arial"/>
          <w:b/>
          <w:sz w:val="22"/>
          <w:szCs w:val="22"/>
        </w:rPr>
        <w:sectPr w:rsidR="00F951AA" w:rsidSect="005F3681">
          <w:pgSz w:w="16840" w:h="11901" w:orient="landscape"/>
          <w:pgMar w:top="1440" w:right="1440" w:bottom="1440" w:left="1440" w:header="709" w:footer="709" w:gutter="0"/>
          <w:cols w:space="708"/>
          <w:docGrid w:linePitch="360"/>
        </w:sectPr>
      </w:pPr>
      <w:r>
        <w:rPr>
          <w:rFonts w:ascii="Arial" w:hAnsi="Arial" w:cs="Arial"/>
          <w:b/>
          <w:noProof/>
          <w:sz w:val="22"/>
          <w:szCs w:val="22"/>
          <w:lang w:eastAsia="nl-NL"/>
        </w:rPr>
        <w:lastRenderedPageBreak/>
        <w:drawing>
          <wp:anchor distT="0" distB="0" distL="114300" distR="114300" simplePos="0" relativeHeight="251658240" behindDoc="0" locked="0" layoutInCell="1" allowOverlap="1" wp14:anchorId="430F5451" wp14:editId="681B5BB4">
            <wp:simplePos x="0" y="0"/>
            <wp:positionH relativeFrom="column">
              <wp:posOffset>772795</wp:posOffset>
            </wp:positionH>
            <wp:positionV relativeFrom="paragraph">
              <wp:posOffset>0</wp:posOffset>
            </wp:positionV>
            <wp:extent cx="7456805" cy="5728335"/>
            <wp:effectExtent l="0" t="0" r="10795" b="1206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jpg"/>
                    <pic:cNvPicPr/>
                  </pic:nvPicPr>
                  <pic:blipFill>
                    <a:blip r:embed="rId14">
                      <a:extLst>
                        <a:ext uri="{28A0092B-C50C-407E-A947-70E740481C1C}">
                          <a14:useLocalDpi xmlns:a14="http://schemas.microsoft.com/office/drawing/2010/main" val="0"/>
                        </a:ext>
                      </a:extLst>
                    </a:blip>
                    <a:stretch>
                      <a:fillRect/>
                    </a:stretch>
                  </pic:blipFill>
                  <pic:spPr>
                    <a:xfrm>
                      <a:off x="0" y="0"/>
                      <a:ext cx="7456805" cy="572833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A4C63">
        <w:rPr>
          <w:rFonts w:ascii="Arial" w:hAnsi="Arial" w:cs="Arial"/>
          <w:b/>
          <w:sz w:val="22"/>
          <w:szCs w:val="22"/>
        </w:rPr>
        <w:t>FIGURE 2</w:t>
      </w:r>
    </w:p>
    <w:p w14:paraId="7BFACC75" w14:textId="77777777" w:rsidR="0002316A" w:rsidRPr="007B3DED" w:rsidRDefault="0002316A" w:rsidP="005F3681">
      <w:pPr>
        <w:spacing w:line="480" w:lineRule="auto"/>
        <w:jc w:val="center"/>
        <w:rPr>
          <w:rFonts w:ascii="Arial" w:hAnsi="Arial" w:cs="Arial"/>
          <w:b/>
          <w:sz w:val="22"/>
          <w:szCs w:val="22"/>
        </w:rPr>
      </w:pPr>
      <w:r w:rsidRPr="007B3DED">
        <w:rPr>
          <w:rFonts w:ascii="Arial" w:hAnsi="Arial" w:cs="Arial"/>
          <w:b/>
          <w:sz w:val="22"/>
          <w:szCs w:val="22"/>
        </w:rPr>
        <w:lastRenderedPageBreak/>
        <w:t>SUPPLEMENTARY MATERIALS</w:t>
      </w:r>
    </w:p>
    <w:p w14:paraId="5F82ABBF" w14:textId="77777777" w:rsidR="0002316A" w:rsidRPr="007B3DED" w:rsidRDefault="0002316A" w:rsidP="005F3681">
      <w:pPr>
        <w:spacing w:line="480" w:lineRule="auto"/>
        <w:jc w:val="center"/>
        <w:rPr>
          <w:rFonts w:ascii="Arial" w:hAnsi="Arial" w:cs="Arial"/>
          <w:b/>
          <w:sz w:val="22"/>
          <w:szCs w:val="22"/>
        </w:rPr>
      </w:pPr>
    </w:p>
    <w:p w14:paraId="3303B958" w14:textId="77777777" w:rsidR="0002316A" w:rsidRPr="007B3DED" w:rsidRDefault="0002316A" w:rsidP="005F3681">
      <w:pPr>
        <w:spacing w:line="480" w:lineRule="auto"/>
        <w:jc w:val="center"/>
        <w:rPr>
          <w:rFonts w:ascii="Arial" w:eastAsia="Verdana" w:hAnsi="Arial" w:cs="Arial"/>
          <w:b/>
          <w:bCs/>
          <w:i/>
          <w:color w:val="000000"/>
          <w:sz w:val="22"/>
          <w:szCs w:val="22"/>
        </w:rPr>
      </w:pPr>
      <w:r w:rsidRPr="007B3DED">
        <w:rPr>
          <w:rFonts w:ascii="Arial" w:hAnsi="Arial" w:cs="Arial"/>
          <w:b/>
          <w:i/>
          <w:sz w:val="22"/>
          <w:szCs w:val="22"/>
        </w:rPr>
        <w:t xml:space="preserve">Tables and Figures showing the relationship between cortical thickness, surface area and cortical volume, </w:t>
      </w:r>
      <w:r w:rsidRPr="007B3DED">
        <w:rPr>
          <w:rFonts w:ascii="Arial" w:eastAsia="Verdana" w:hAnsi="Arial" w:cs="Arial"/>
          <w:b/>
          <w:bCs/>
          <w:i/>
          <w:color w:val="000000"/>
          <w:sz w:val="22"/>
          <w:szCs w:val="22"/>
        </w:rPr>
        <w:t xml:space="preserve">and </w:t>
      </w:r>
      <w:r w:rsidRPr="007B3DED">
        <w:rPr>
          <w:rFonts w:ascii="Arial" w:hAnsi="Arial" w:cs="Arial"/>
          <w:b/>
          <w:i/>
          <w:sz w:val="22"/>
          <w:szCs w:val="22"/>
        </w:rPr>
        <w:t xml:space="preserve">dissociative symptoms and </w:t>
      </w:r>
      <w:r w:rsidRPr="007B3DED">
        <w:rPr>
          <w:rFonts w:ascii="Arial" w:eastAsia="Verdana" w:hAnsi="Arial" w:cs="Arial"/>
          <w:b/>
          <w:bCs/>
          <w:i/>
          <w:color w:val="000000"/>
          <w:sz w:val="22"/>
          <w:szCs w:val="22"/>
        </w:rPr>
        <w:t>early traumatization</w:t>
      </w:r>
    </w:p>
    <w:p w14:paraId="30EA4195" w14:textId="77777777" w:rsidR="0002316A" w:rsidRPr="007B3DED" w:rsidRDefault="0002316A" w:rsidP="005F3681">
      <w:pPr>
        <w:spacing w:line="480" w:lineRule="auto"/>
        <w:jc w:val="center"/>
        <w:rPr>
          <w:rFonts w:ascii="Arial" w:hAnsi="Arial" w:cs="Arial"/>
          <w:b/>
          <w:sz w:val="22"/>
          <w:szCs w:val="22"/>
        </w:rPr>
      </w:pPr>
    </w:p>
    <w:p w14:paraId="25E2B817" w14:textId="77777777" w:rsidR="0002316A" w:rsidRPr="007B3DED" w:rsidRDefault="0002316A" w:rsidP="005F3681">
      <w:pPr>
        <w:spacing w:line="480" w:lineRule="auto"/>
        <w:jc w:val="center"/>
        <w:rPr>
          <w:rFonts w:ascii="Arial" w:hAnsi="Arial" w:cs="Arial"/>
          <w:b/>
          <w:sz w:val="22"/>
          <w:szCs w:val="22"/>
        </w:rPr>
      </w:pPr>
    </w:p>
    <w:p w14:paraId="05BCFE5C" w14:textId="77777777" w:rsidR="0002316A" w:rsidRPr="007B3DED" w:rsidRDefault="0002316A" w:rsidP="005F3681">
      <w:pPr>
        <w:spacing w:line="480" w:lineRule="auto"/>
        <w:rPr>
          <w:rFonts w:ascii="Arial" w:hAnsi="Arial" w:cs="Arial"/>
          <w:b/>
          <w:sz w:val="22"/>
          <w:szCs w:val="22"/>
        </w:rPr>
      </w:pPr>
      <w:r w:rsidRPr="007B3DED">
        <w:rPr>
          <w:rFonts w:ascii="Arial" w:hAnsi="Arial" w:cs="Arial"/>
          <w:b/>
          <w:sz w:val="22"/>
          <w:szCs w:val="22"/>
        </w:rPr>
        <w:t>CAPTIONS</w:t>
      </w:r>
    </w:p>
    <w:p w14:paraId="3E76C525" w14:textId="77777777" w:rsidR="0002316A" w:rsidRPr="007B3DED" w:rsidRDefault="0002316A" w:rsidP="005F3681">
      <w:pPr>
        <w:spacing w:line="480" w:lineRule="auto"/>
        <w:rPr>
          <w:rFonts w:ascii="Arial" w:hAnsi="Arial" w:cs="Arial"/>
          <w:color w:val="000000"/>
          <w:sz w:val="22"/>
          <w:szCs w:val="22"/>
        </w:rPr>
      </w:pPr>
      <w:r w:rsidRPr="007B3DED">
        <w:rPr>
          <w:rFonts w:ascii="Arial" w:hAnsi="Arial" w:cs="Arial"/>
          <w:b/>
          <w:color w:val="000000"/>
          <w:sz w:val="22"/>
          <w:szCs w:val="22"/>
        </w:rPr>
        <w:t>Supplementary Table 1:</w:t>
      </w:r>
      <w:r w:rsidRPr="007B3DED">
        <w:rPr>
          <w:rFonts w:ascii="Arial" w:hAnsi="Arial" w:cs="Arial"/>
          <w:color w:val="000000"/>
          <w:sz w:val="22"/>
          <w:szCs w:val="22"/>
        </w:rPr>
        <w:t xml:space="preserve"> Clusters with significant negative correlations between measures of SA and CV, and dissociative </w:t>
      </w:r>
      <w:r>
        <w:rPr>
          <w:rFonts w:ascii="Arial" w:hAnsi="Arial" w:cs="Arial"/>
          <w:color w:val="000000"/>
          <w:sz w:val="22"/>
          <w:szCs w:val="22"/>
        </w:rPr>
        <w:t>symptoms</w:t>
      </w:r>
      <w:r w:rsidRPr="007B3DED">
        <w:rPr>
          <w:rFonts w:ascii="Arial" w:hAnsi="Arial" w:cs="Arial"/>
          <w:color w:val="000000"/>
          <w:sz w:val="22"/>
          <w:szCs w:val="22"/>
        </w:rPr>
        <w:t xml:space="preserve">. </w:t>
      </w:r>
    </w:p>
    <w:p w14:paraId="6D75FF58" w14:textId="77777777" w:rsidR="0002316A" w:rsidRPr="007B3DED" w:rsidRDefault="0002316A" w:rsidP="005F3681">
      <w:pPr>
        <w:spacing w:line="480" w:lineRule="auto"/>
        <w:rPr>
          <w:rFonts w:ascii="Arial" w:hAnsi="Arial" w:cs="Arial"/>
          <w:b/>
          <w:sz w:val="22"/>
          <w:szCs w:val="22"/>
        </w:rPr>
      </w:pPr>
    </w:p>
    <w:p w14:paraId="62D1CA2E" w14:textId="77777777" w:rsidR="0002316A" w:rsidRPr="007B3DED" w:rsidRDefault="0002316A" w:rsidP="005F3681">
      <w:pPr>
        <w:pStyle w:val="Geenafstand"/>
        <w:spacing w:line="480" w:lineRule="auto"/>
        <w:rPr>
          <w:rFonts w:ascii="Arial" w:hAnsi="Arial" w:cs="Arial"/>
          <w:b/>
          <w:sz w:val="22"/>
          <w:szCs w:val="22"/>
        </w:rPr>
      </w:pPr>
      <w:r w:rsidRPr="007B3DED">
        <w:rPr>
          <w:rFonts w:ascii="Arial" w:hAnsi="Arial" w:cs="Arial"/>
          <w:b/>
          <w:sz w:val="22"/>
          <w:szCs w:val="22"/>
        </w:rPr>
        <w:t xml:space="preserve">Supplementary Table 2: </w:t>
      </w:r>
      <w:r w:rsidRPr="007B3DED">
        <w:rPr>
          <w:rFonts w:ascii="Arial" w:hAnsi="Arial" w:cs="Arial"/>
          <w:sz w:val="22"/>
          <w:szCs w:val="22"/>
        </w:rPr>
        <w:t xml:space="preserve">Clusters with negative or positive correlations between measures of SA and CV, and early traumatization between the age of 0 and 3, using a composite score. These results are presented at </w:t>
      </w:r>
      <w:r w:rsidRPr="007B3DED">
        <w:rPr>
          <w:rFonts w:ascii="Arial" w:hAnsi="Arial" w:cs="Arial"/>
          <w:color w:val="000000" w:themeColor="text1"/>
          <w:sz w:val="22"/>
          <w:szCs w:val="22"/>
        </w:rPr>
        <w:t xml:space="preserve">an uncorrected vertex-wise </w:t>
      </w:r>
      <w:r>
        <w:rPr>
          <w:rFonts w:ascii="Arial" w:hAnsi="Arial" w:cs="Arial"/>
          <w:color w:val="000000" w:themeColor="text1"/>
          <w:sz w:val="22"/>
          <w:szCs w:val="22"/>
        </w:rPr>
        <w:t xml:space="preserve">statistical </w:t>
      </w:r>
      <w:r w:rsidRPr="007B3DED">
        <w:rPr>
          <w:rFonts w:ascii="Arial" w:hAnsi="Arial" w:cs="Arial"/>
          <w:color w:val="000000" w:themeColor="text1"/>
          <w:sz w:val="22"/>
          <w:szCs w:val="22"/>
        </w:rPr>
        <w:t>threshold of p&lt;0.0</w:t>
      </w:r>
      <w:r>
        <w:rPr>
          <w:rFonts w:ascii="Arial" w:hAnsi="Arial" w:cs="Arial"/>
          <w:color w:val="000000" w:themeColor="text1"/>
          <w:sz w:val="22"/>
          <w:szCs w:val="22"/>
        </w:rPr>
        <w:t>5</w:t>
      </w:r>
      <w:r w:rsidRPr="007B3DED">
        <w:rPr>
          <w:rFonts w:ascii="Arial" w:hAnsi="Arial" w:cs="Arial"/>
          <w:color w:val="000000" w:themeColor="text1"/>
          <w:sz w:val="22"/>
          <w:szCs w:val="22"/>
        </w:rPr>
        <w:t xml:space="preserve"> (two-tailed). </w:t>
      </w:r>
    </w:p>
    <w:p w14:paraId="25462041" w14:textId="77777777" w:rsidR="0002316A" w:rsidRPr="007B3DED" w:rsidRDefault="0002316A" w:rsidP="005F3681">
      <w:pPr>
        <w:spacing w:line="480" w:lineRule="auto"/>
        <w:rPr>
          <w:rFonts w:ascii="Arial" w:hAnsi="Arial" w:cs="Arial"/>
          <w:b/>
          <w:sz w:val="22"/>
          <w:szCs w:val="22"/>
        </w:rPr>
      </w:pPr>
    </w:p>
    <w:p w14:paraId="0E50136A" w14:textId="77777777" w:rsidR="0002316A" w:rsidRPr="007B3DED" w:rsidRDefault="0002316A" w:rsidP="005F3681">
      <w:pPr>
        <w:spacing w:line="480" w:lineRule="auto"/>
        <w:rPr>
          <w:rFonts w:ascii="Arial" w:hAnsi="Arial" w:cs="Arial"/>
          <w:sz w:val="22"/>
          <w:szCs w:val="22"/>
        </w:rPr>
      </w:pPr>
      <w:r w:rsidRPr="007B3DED">
        <w:rPr>
          <w:rFonts w:ascii="Arial" w:hAnsi="Arial" w:cs="Arial"/>
          <w:b/>
          <w:sz w:val="22"/>
          <w:szCs w:val="22"/>
        </w:rPr>
        <w:t>Supplementary Figure 1</w:t>
      </w:r>
      <w:r w:rsidRPr="007B3DED">
        <w:rPr>
          <w:rFonts w:ascii="Arial" w:hAnsi="Arial" w:cs="Arial"/>
          <w:sz w:val="22"/>
          <w:szCs w:val="22"/>
        </w:rPr>
        <w:t>: (</w:t>
      </w:r>
      <w:r w:rsidRPr="007B3DED">
        <w:rPr>
          <w:rFonts w:ascii="Arial" w:hAnsi="Arial" w:cs="Arial"/>
          <w:b/>
          <w:sz w:val="22"/>
          <w:szCs w:val="22"/>
        </w:rPr>
        <w:t>A</w:t>
      </w:r>
      <w:r w:rsidRPr="007B3DED">
        <w:rPr>
          <w:rFonts w:ascii="Arial" w:hAnsi="Arial" w:cs="Arial"/>
          <w:sz w:val="22"/>
          <w:szCs w:val="22"/>
        </w:rPr>
        <w:t xml:space="preserve">) </w:t>
      </w:r>
      <w:bookmarkStart w:id="14" w:name="OLE_LINK16"/>
      <w:bookmarkStart w:id="15" w:name="OLE_LINK17"/>
      <w:r w:rsidRPr="007B3DED">
        <w:rPr>
          <w:rFonts w:ascii="Arial" w:hAnsi="Arial" w:cs="Arial"/>
          <w:sz w:val="22"/>
          <w:szCs w:val="22"/>
        </w:rPr>
        <w:t xml:space="preserve">Clusters </w:t>
      </w:r>
      <w:r>
        <w:rPr>
          <w:rFonts w:ascii="Arial" w:hAnsi="Arial" w:cs="Arial"/>
          <w:sz w:val="22"/>
          <w:szCs w:val="22"/>
        </w:rPr>
        <w:t>with</w:t>
      </w:r>
      <w:r w:rsidRPr="007B3DED">
        <w:rPr>
          <w:rFonts w:ascii="Arial" w:hAnsi="Arial" w:cs="Arial"/>
          <w:sz w:val="22"/>
          <w:szCs w:val="22"/>
        </w:rPr>
        <w:t xml:space="preserve"> significant negative correlations between measures of SA and the severity of DID symptoms as obtained via principal component analysis (RFT-based, cluster-corrected, p &lt; 0.05)</w:t>
      </w:r>
      <w:bookmarkEnd w:id="14"/>
      <w:bookmarkEnd w:id="15"/>
      <w:r w:rsidRPr="007B3DED">
        <w:rPr>
          <w:rFonts w:ascii="Arial" w:hAnsi="Arial" w:cs="Arial"/>
          <w:sz w:val="22"/>
          <w:szCs w:val="22"/>
        </w:rPr>
        <w:t>. (</w:t>
      </w:r>
      <w:r w:rsidRPr="007B3DED">
        <w:rPr>
          <w:rFonts w:ascii="Arial" w:hAnsi="Arial" w:cs="Arial"/>
          <w:b/>
          <w:sz w:val="22"/>
          <w:szCs w:val="22"/>
        </w:rPr>
        <w:t>B</w:t>
      </w:r>
      <w:r w:rsidRPr="007B3DED">
        <w:rPr>
          <w:rFonts w:ascii="Arial" w:hAnsi="Arial" w:cs="Arial"/>
          <w:sz w:val="22"/>
          <w:szCs w:val="22"/>
        </w:rPr>
        <w:t>) Clusters of significant negative correlations between measures of CV and the severity of DID symptoms as assessed using principal component analysis (RFT-based, cluster-corrected, p &lt; 0.05). There were no clusters where measures of CT were significantly correlated with DID symptoms.</w:t>
      </w:r>
    </w:p>
    <w:p w14:paraId="31058D05" w14:textId="77777777" w:rsidR="0002316A" w:rsidRPr="007B3DED" w:rsidRDefault="0002316A" w:rsidP="005F3681">
      <w:pPr>
        <w:spacing w:line="480" w:lineRule="auto"/>
        <w:rPr>
          <w:rFonts w:ascii="Arial" w:hAnsi="Arial" w:cs="Arial"/>
          <w:sz w:val="22"/>
          <w:szCs w:val="22"/>
        </w:rPr>
      </w:pPr>
    </w:p>
    <w:p w14:paraId="3CFFC58B" w14:textId="77777777" w:rsidR="0002316A" w:rsidRPr="007B3DED" w:rsidRDefault="0002316A" w:rsidP="005F3681">
      <w:pPr>
        <w:spacing w:line="480" w:lineRule="auto"/>
        <w:rPr>
          <w:rFonts w:ascii="Arial" w:hAnsi="Arial" w:cs="Arial"/>
          <w:sz w:val="22"/>
          <w:szCs w:val="22"/>
        </w:rPr>
      </w:pPr>
      <w:r w:rsidRPr="007B3DED">
        <w:rPr>
          <w:rFonts w:ascii="Arial" w:hAnsi="Arial" w:cs="Arial"/>
          <w:b/>
          <w:sz w:val="22"/>
          <w:szCs w:val="22"/>
        </w:rPr>
        <w:t>Supplementary Figure 2</w:t>
      </w:r>
      <w:r w:rsidRPr="007B3DED">
        <w:rPr>
          <w:rFonts w:ascii="Arial" w:hAnsi="Arial" w:cs="Arial"/>
          <w:sz w:val="22"/>
          <w:szCs w:val="22"/>
        </w:rPr>
        <w:t>: (</w:t>
      </w:r>
      <w:r w:rsidRPr="007B3DED">
        <w:rPr>
          <w:rFonts w:ascii="Arial" w:hAnsi="Arial" w:cs="Arial"/>
          <w:b/>
          <w:sz w:val="22"/>
          <w:szCs w:val="22"/>
        </w:rPr>
        <w:t>A</w:t>
      </w:r>
      <w:r w:rsidRPr="007B3DED">
        <w:rPr>
          <w:rFonts w:ascii="Arial" w:hAnsi="Arial" w:cs="Arial"/>
          <w:sz w:val="22"/>
          <w:szCs w:val="22"/>
        </w:rPr>
        <w:t>) Clusters of negative and positive correlations between measures of SA and the severity of early traumatization between the age of 0 and 3, using a composite score. (</w:t>
      </w:r>
      <w:r w:rsidRPr="007B3DED">
        <w:rPr>
          <w:rFonts w:ascii="Arial" w:hAnsi="Arial" w:cs="Arial"/>
          <w:b/>
          <w:sz w:val="22"/>
          <w:szCs w:val="22"/>
        </w:rPr>
        <w:t>B</w:t>
      </w:r>
      <w:r w:rsidRPr="007B3DED">
        <w:rPr>
          <w:rFonts w:ascii="Arial" w:hAnsi="Arial" w:cs="Arial"/>
          <w:sz w:val="22"/>
          <w:szCs w:val="22"/>
        </w:rPr>
        <w:t>) Clusters of negative and positive correlations between measures of CV and the severity of early traumatization between the age of 0 and 3, using a composite score. There were no clusters where measures of CT were significantly correlated with DID symptoms.</w:t>
      </w:r>
    </w:p>
    <w:p w14:paraId="3B4A3F56" w14:textId="77777777" w:rsidR="0002316A" w:rsidRPr="007B3DED" w:rsidRDefault="0002316A" w:rsidP="005F3681">
      <w:pPr>
        <w:spacing w:line="480" w:lineRule="auto"/>
        <w:rPr>
          <w:rFonts w:ascii="Arial" w:hAnsi="Arial" w:cs="Arial"/>
          <w:b/>
          <w:sz w:val="22"/>
          <w:szCs w:val="22"/>
        </w:rPr>
        <w:sectPr w:rsidR="0002316A" w:rsidRPr="007B3DED" w:rsidSect="00F951AA">
          <w:footerReference w:type="even" r:id="rId15"/>
          <w:footerReference w:type="default" r:id="rId16"/>
          <w:pgSz w:w="11901" w:h="16840"/>
          <w:pgMar w:top="1440" w:right="1440" w:bottom="1440" w:left="1440" w:header="709" w:footer="709" w:gutter="0"/>
          <w:cols w:space="708"/>
          <w:docGrid w:linePitch="360"/>
        </w:sectPr>
      </w:pPr>
    </w:p>
    <w:tbl>
      <w:tblPr>
        <w:tblW w:w="14480" w:type="dxa"/>
        <w:tblInd w:w="93" w:type="dxa"/>
        <w:tblLayout w:type="fixed"/>
        <w:tblLook w:val="04A0" w:firstRow="1" w:lastRow="0" w:firstColumn="1" w:lastColumn="0" w:noHBand="0" w:noVBand="1"/>
      </w:tblPr>
      <w:tblGrid>
        <w:gridCol w:w="1244"/>
        <w:gridCol w:w="585"/>
        <w:gridCol w:w="328"/>
        <w:gridCol w:w="928"/>
        <w:gridCol w:w="3026"/>
        <w:gridCol w:w="350"/>
        <w:gridCol w:w="358"/>
        <w:gridCol w:w="457"/>
        <w:gridCol w:w="536"/>
        <w:gridCol w:w="841"/>
        <w:gridCol w:w="576"/>
        <w:gridCol w:w="567"/>
        <w:gridCol w:w="567"/>
        <w:gridCol w:w="246"/>
        <w:gridCol w:w="321"/>
        <w:gridCol w:w="594"/>
        <w:gridCol w:w="257"/>
        <w:gridCol w:w="658"/>
        <w:gridCol w:w="839"/>
        <w:gridCol w:w="76"/>
        <w:gridCol w:w="1126"/>
      </w:tblGrid>
      <w:tr w:rsidR="0002316A" w:rsidRPr="007B3DED" w14:paraId="230CC566" w14:textId="77777777" w:rsidTr="005F3681">
        <w:trPr>
          <w:gridAfter w:val="2"/>
          <w:wAfter w:w="1202" w:type="dxa"/>
          <w:trHeight w:val="260"/>
        </w:trPr>
        <w:tc>
          <w:tcPr>
            <w:tcW w:w="13278" w:type="dxa"/>
            <w:gridSpan w:val="19"/>
            <w:tcBorders>
              <w:top w:val="nil"/>
              <w:left w:val="nil"/>
              <w:bottom w:val="single" w:sz="4" w:space="0" w:color="auto"/>
              <w:right w:val="nil"/>
            </w:tcBorders>
            <w:shd w:val="clear" w:color="auto" w:fill="auto"/>
            <w:vAlign w:val="bottom"/>
            <w:hideMark/>
          </w:tcPr>
          <w:p w14:paraId="2A6C97EA" w14:textId="77777777" w:rsidR="0002316A" w:rsidRPr="007B3DED" w:rsidRDefault="0002316A" w:rsidP="005F3681">
            <w:pPr>
              <w:rPr>
                <w:rFonts w:ascii="Arial" w:eastAsia="Times New Roman" w:hAnsi="Arial" w:cs="Arial"/>
                <w:color w:val="000000"/>
                <w:sz w:val="22"/>
                <w:szCs w:val="22"/>
                <w:lang w:val="en-GB"/>
              </w:rPr>
            </w:pPr>
            <w:r w:rsidRPr="007B3DED">
              <w:rPr>
                <w:rFonts w:ascii="Arial" w:eastAsia="Times New Roman" w:hAnsi="Arial" w:cs="Arial"/>
                <w:b/>
                <w:bCs/>
                <w:color w:val="000000"/>
                <w:sz w:val="22"/>
                <w:szCs w:val="22"/>
                <w:lang w:val="en-GB"/>
              </w:rPr>
              <w:lastRenderedPageBreak/>
              <w:t>Supplementary Table 1:</w:t>
            </w:r>
            <w:r w:rsidRPr="007B3DED">
              <w:rPr>
                <w:rFonts w:ascii="Arial" w:eastAsia="Times New Roman" w:hAnsi="Arial" w:cs="Arial"/>
                <w:color w:val="000000"/>
                <w:sz w:val="22"/>
                <w:szCs w:val="22"/>
                <w:lang w:val="en-GB"/>
              </w:rPr>
              <w:t xml:space="preserve"> Clusters with significant negative correlations between measures of SA and CV, and the dissociative component.</w:t>
            </w:r>
          </w:p>
        </w:tc>
      </w:tr>
      <w:tr w:rsidR="0002316A" w:rsidRPr="007B3DED" w14:paraId="095155CF" w14:textId="77777777" w:rsidTr="005F3681">
        <w:trPr>
          <w:gridAfter w:val="2"/>
          <w:wAfter w:w="1202" w:type="dxa"/>
          <w:trHeight w:val="260"/>
        </w:trPr>
        <w:tc>
          <w:tcPr>
            <w:tcW w:w="1244" w:type="dxa"/>
            <w:tcBorders>
              <w:top w:val="nil"/>
              <w:left w:val="nil"/>
              <w:bottom w:val="nil"/>
              <w:right w:val="nil"/>
            </w:tcBorders>
            <w:shd w:val="clear" w:color="auto" w:fill="auto"/>
            <w:noWrap/>
            <w:vAlign w:val="bottom"/>
            <w:hideMark/>
          </w:tcPr>
          <w:p w14:paraId="3BFDA848" w14:textId="77777777" w:rsidR="0002316A" w:rsidRPr="007B3DED" w:rsidRDefault="0002316A" w:rsidP="005F3681">
            <w:pPr>
              <w:rPr>
                <w:rFonts w:ascii="Arial" w:eastAsia="Times New Roman" w:hAnsi="Arial" w:cs="Arial"/>
                <w:color w:val="000000"/>
                <w:sz w:val="22"/>
                <w:szCs w:val="22"/>
                <w:lang w:val="en-GB"/>
              </w:rPr>
            </w:pPr>
          </w:p>
        </w:tc>
        <w:tc>
          <w:tcPr>
            <w:tcW w:w="913" w:type="dxa"/>
            <w:gridSpan w:val="2"/>
            <w:tcBorders>
              <w:top w:val="nil"/>
              <w:left w:val="nil"/>
              <w:bottom w:val="nil"/>
              <w:right w:val="nil"/>
            </w:tcBorders>
            <w:shd w:val="clear" w:color="auto" w:fill="auto"/>
            <w:noWrap/>
            <w:vAlign w:val="bottom"/>
            <w:hideMark/>
          </w:tcPr>
          <w:p w14:paraId="0D2D9DEA" w14:textId="77777777" w:rsidR="0002316A" w:rsidRPr="007B3DED" w:rsidRDefault="0002316A" w:rsidP="005F3681">
            <w:pP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 </w:t>
            </w:r>
          </w:p>
        </w:tc>
        <w:tc>
          <w:tcPr>
            <w:tcW w:w="3954" w:type="dxa"/>
            <w:gridSpan w:val="2"/>
            <w:tcBorders>
              <w:top w:val="nil"/>
              <w:left w:val="nil"/>
              <w:bottom w:val="nil"/>
              <w:right w:val="nil"/>
            </w:tcBorders>
            <w:shd w:val="clear" w:color="auto" w:fill="auto"/>
            <w:noWrap/>
            <w:vAlign w:val="bottom"/>
            <w:hideMark/>
          </w:tcPr>
          <w:p w14:paraId="2A0FBFA0" w14:textId="77777777" w:rsidR="0002316A" w:rsidRPr="007B3DED" w:rsidRDefault="0002316A" w:rsidP="005F3681">
            <w:pP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 </w:t>
            </w:r>
          </w:p>
        </w:tc>
        <w:tc>
          <w:tcPr>
            <w:tcW w:w="708" w:type="dxa"/>
            <w:gridSpan w:val="2"/>
            <w:tcBorders>
              <w:top w:val="nil"/>
              <w:left w:val="nil"/>
              <w:bottom w:val="nil"/>
              <w:right w:val="nil"/>
            </w:tcBorders>
            <w:shd w:val="clear" w:color="auto" w:fill="auto"/>
            <w:noWrap/>
            <w:vAlign w:val="bottom"/>
            <w:hideMark/>
          </w:tcPr>
          <w:p w14:paraId="393717A5" w14:textId="77777777" w:rsidR="0002316A" w:rsidRPr="007B3DED" w:rsidRDefault="0002316A" w:rsidP="005F3681">
            <w:pP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 </w:t>
            </w:r>
          </w:p>
        </w:tc>
        <w:tc>
          <w:tcPr>
            <w:tcW w:w="993" w:type="dxa"/>
            <w:gridSpan w:val="2"/>
            <w:tcBorders>
              <w:top w:val="nil"/>
              <w:left w:val="nil"/>
              <w:bottom w:val="nil"/>
              <w:right w:val="nil"/>
            </w:tcBorders>
            <w:shd w:val="clear" w:color="auto" w:fill="auto"/>
            <w:noWrap/>
            <w:vAlign w:val="bottom"/>
            <w:hideMark/>
          </w:tcPr>
          <w:p w14:paraId="1192E977" w14:textId="77777777" w:rsidR="0002316A" w:rsidRPr="007B3DED" w:rsidRDefault="0002316A" w:rsidP="005F3681">
            <w:pP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 </w:t>
            </w:r>
          </w:p>
        </w:tc>
        <w:tc>
          <w:tcPr>
            <w:tcW w:w="1417" w:type="dxa"/>
            <w:gridSpan w:val="2"/>
            <w:tcBorders>
              <w:top w:val="nil"/>
              <w:left w:val="nil"/>
              <w:bottom w:val="nil"/>
              <w:right w:val="nil"/>
            </w:tcBorders>
            <w:shd w:val="clear" w:color="auto" w:fill="auto"/>
            <w:noWrap/>
            <w:vAlign w:val="bottom"/>
            <w:hideMark/>
          </w:tcPr>
          <w:p w14:paraId="4C132983" w14:textId="77777777" w:rsidR="0002316A" w:rsidRPr="007B3DED" w:rsidRDefault="0002316A" w:rsidP="005F3681">
            <w:pP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 </w:t>
            </w:r>
          </w:p>
        </w:tc>
        <w:tc>
          <w:tcPr>
            <w:tcW w:w="1701" w:type="dxa"/>
            <w:gridSpan w:val="4"/>
            <w:tcBorders>
              <w:top w:val="single" w:sz="4" w:space="0" w:color="auto"/>
              <w:left w:val="nil"/>
              <w:bottom w:val="single" w:sz="4" w:space="0" w:color="auto"/>
              <w:right w:val="nil"/>
            </w:tcBorders>
            <w:shd w:val="clear" w:color="auto" w:fill="auto"/>
            <w:noWrap/>
            <w:vAlign w:val="bottom"/>
            <w:hideMark/>
          </w:tcPr>
          <w:p w14:paraId="162C51AC"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Talairach</w:t>
            </w:r>
          </w:p>
        </w:tc>
        <w:tc>
          <w:tcPr>
            <w:tcW w:w="851" w:type="dxa"/>
            <w:gridSpan w:val="2"/>
            <w:tcBorders>
              <w:top w:val="nil"/>
              <w:left w:val="nil"/>
              <w:bottom w:val="nil"/>
              <w:right w:val="nil"/>
            </w:tcBorders>
            <w:shd w:val="clear" w:color="auto" w:fill="auto"/>
            <w:noWrap/>
            <w:vAlign w:val="bottom"/>
            <w:hideMark/>
          </w:tcPr>
          <w:p w14:paraId="3D45E71C" w14:textId="77777777" w:rsidR="0002316A" w:rsidRPr="007B3DED" w:rsidRDefault="0002316A" w:rsidP="005F3681">
            <w:pP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 </w:t>
            </w:r>
          </w:p>
        </w:tc>
        <w:tc>
          <w:tcPr>
            <w:tcW w:w="1497" w:type="dxa"/>
            <w:gridSpan w:val="2"/>
            <w:tcBorders>
              <w:top w:val="nil"/>
              <w:left w:val="nil"/>
              <w:bottom w:val="nil"/>
              <w:right w:val="nil"/>
            </w:tcBorders>
            <w:shd w:val="clear" w:color="auto" w:fill="auto"/>
            <w:noWrap/>
            <w:vAlign w:val="bottom"/>
            <w:hideMark/>
          </w:tcPr>
          <w:p w14:paraId="3DBFFCC8" w14:textId="77777777" w:rsidR="0002316A" w:rsidRPr="007B3DED" w:rsidRDefault="0002316A" w:rsidP="005F3681">
            <w:pP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 </w:t>
            </w:r>
          </w:p>
        </w:tc>
      </w:tr>
      <w:tr w:rsidR="0002316A" w:rsidRPr="007B3DED" w14:paraId="51962E6D" w14:textId="77777777" w:rsidTr="005F3681">
        <w:trPr>
          <w:gridAfter w:val="2"/>
          <w:wAfter w:w="1202" w:type="dxa"/>
          <w:trHeight w:val="300"/>
        </w:trPr>
        <w:tc>
          <w:tcPr>
            <w:tcW w:w="1244" w:type="dxa"/>
            <w:tcBorders>
              <w:top w:val="nil"/>
              <w:left w:val="nil"/>
              <w:bottom w:val="single" w:sz="4" w:space="0" w:color="auto"/>
              <w:right w:val="nil"/>
            </w:tcBorders>
            <w:shd w:val="clear" w:color="auto" w:fill="auto"/>
            <w:noWrap/>
            <w:vAlign w:val="bottom"/>
            <w:hideMark/>
          </w:tcPr>
          <w:p w14:paraId="10558ED0" w14:textId="77777777" w:rsidR="0002316A" w:rsidRPr="007B3DED" w:rsidRDefault="0002316A" w:rsidP="005F3681">
            <w:pP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Parameter</w:t>
            </w:r>
          </w:p>
        </w:tc>
        <w:tc>
          <w:tcPr>
            <w:tcW w:w="913" w:type="dxa"/>
            <w:gridSpan w:val="2"/>
            <w:tcBorders>
              <w:top w:val="nil"/>
              <w:left w:val="nil"/>
              <w:bottom w:val="single" w:sz="4" w:space="0" w:color="auto"/>
              <w:right w:val="nil"/>
            </w:tcBorders>
            <w:shd w:val="clear" w:color="auto" w:fill="auto"/>
            <w:noWrap/>
            <w:vAlign w:val="bottom"/>
            <w:hideMark/>
          </w:tcPr>
          <w:p w14:paraId="3D548646" w14:textId="77777777" w:rsidR="0002316A" w:rsidRPr="007B3DED" w:rsidRDefault="0002316A" w:rsidP="005F3681">
            <w:pP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Cluster</w:t>
            </w:r>
          </w:p>
        </w:tc>
        <w:tc>
          <w:tcPr>
            <w:tcW w:w="3954" w:type="dxa"/>
            <w:gridSpan w:val="2"/>
            <w:tcBorders>
              <w:top w:val="nil"/>
              <w:left w:val="nil"/>
              <w:bottom w:val="single" w:sz="4" w:space="0" w:color="auto"/>
              <w:right w:val="nil"/>
            </w:tcBorders>
            <w:shd w:val="clear" w:color="auto" w:fill="auto"/>
            <w:noWrap/>
            <w:vAlign w:val="bottom"/>
            <w:hideMark/>
          </w:tcPr>
          <w:p w14:paraId="6EAFF48F"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Regional Labels</w:t>
            </w:r>
          </w:p>
        </w:tc>
        <w:tc>
          <w:tcPr>
            <w:tcW w:w="708" w:type="dxa"/>
            <w:gridSpan w:val="2"/>
            <w:tcBorders>
              <w:top w:val="nil"/>
              <w:left w:val="nil"/>
              <w:bottom w:val="single" w:sz="4" w:space="0" w:color="auto"/>
              <w:right w:val="nil"/>
            </w:tcBorders>
            <w:shd w:val="clear" w:color="auto" w:fill="auto"/>
            <w:noWrap/>
            <w:vAlign w:val="bottom"/>
            <w:hideMark/>
          </w:tcPr>
          <w:p w14:paraId="6F45F693"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Side</w:t>
            </w:r>
          </w:p>
        </w:tc>
        <w:tc>
          <w:tcPr>
            <w:tcW w:w="993" w:type="dxa"/>
            <w:gridSpan w:val="2"/>
            <w:tcBorders>
              <w:top w:val="nil"/>
              <w:left w:val="nil"/>
              <w:bottom w:val="single" w:sz="4" w:space="0" w:color="auto"/>
              <w:right w:val="nil"/>
            </w:tcBorders>
            <w:shd w:val="clear" w:color="auto" w:fill="auto"/>
            <w:noWrap/>
            <w:vAlign w:val="bottom"/>
            <w:hideMark/>
          </w:tcPr>
          <w:p w14:paraId="6A116381"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BA(t</w:t>
            </w:r>
            <w:r w:rsidRPr="007B3DED">
              <w:rPr>
                <w:rFonts w:ascii="Arial" w:eastAsia="Times New Roman" w:hAnsi="Arial" w:cs="Arial"/>
                <w:color w:val="000000"/>
                <w:sz w:val="22"/>
                <w:szCs w:val="22"/>
                <w:vertAlign w:val="subscript"/>
                <w:lang w:val="en-GB"/>
              </w:rPr>
              <w:t>max</w:t>
            </w:r>
            <w:r w:rsidRPr="007B3DED">
              <w:rPr>
                <w:rFonts w:ascii="Arial" w:eastAsia="Times New Roman" w:hAnsi="Arial" w:cs="Arial"/>
                <w:color w:val="000000"/>
                <w:sz w:val="22"/>
                <w:szCs w:val="22"/>
                <w:lang w:val="en-GB"/>
              </w:rPr>
              <w:t>)</w:t>
            </w:r>
          </w:p>
        </w:tc>
        <w:tc>
          <w:tcPr>
            <w:tcW w:w="1417" w:type="dxa"/>
            <w:gridSpan w:val="2"/>
            <w:tcBorders>
              <w:top w:val="nil"/>
              <w:left w:val="nil"/>
              <w:bottom w:val="single" w:sz="4" w:space="0" w:color="auto"/>
              <w:right w:val="nil"/>
            </w:tcBorders>
            <w:shd w:val="clear" w:color="auto" w:fill="auto"/>
            <w:noWrap/>
            <w:vAlign w:val="bottom"/>
            <w:hideMark/>
          </w:tcPr>
          <w:p w14:paraId="382340AD"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No vertices</w:t>
            </w:r>
          </w:p>
        </w:tc>
        <w:tc>
          <w:tcPr>
            <w:tcW w:w="567" w:type="dxa"/>
            <w:tcBorders>
              <w:top w:val="nil"/>
              <w:left w:val="nil"/>
              <w:bottom w:val="single" w:sz="4" w:space="0" w:color="auto"/>
              <w:right w:val="nil"/>
            </w:tcBorders>
            <w:shd w:val="clear" w:color="auto" w:fill="auto"/>
            <w:noWrap/>
            <w:vAlign w:val="bottom"/>
            <w:hideMark/>
          </w:tcPr>
          <w:p w14:paraId="3B750D81"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x</w:t>
            </w:r>
          </w:p>
        </w:tc>
        <w:tc>
          <w:tcPr>
            <w:tcW w:w="567" w:type="dxa"/>
            <w:tcBorders>
              <w:top w:val="nil"/>
              <w:left w:val="nil"/>
              <w:bottom w:val="single" w:sz="4" w:space="0" w:color="auto"/>
              <w:right w:val="nil"/>
            </w:tcBorders>
            <w:shd w:val="clear" w:color="auto" w:fill="auto"/>
            <w:noWrap/>
            <w:vAlign w:val="bottom"/>
            <w:hideMark/>
          </w:tcPr>
          <w:p w14:paraId="1493F3D8"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y</w:t>
            </w:r>
          </w:p>
        </w:tc>
        <w:tc>
          <w:tcPr>
            <w:tcW w:w="567" w:type="dxa"/>
            <w:gridSpan w:val="2"/>
            <w:tcBorders>
              <w:top w:val="nil"/>
              <w:left w:val="nil"/>
              <w:bottom w:val="single" w:sz="4" w:space="0" w:color="auto"/>
              <w:right w:val="nil"/>
            </w:tcBorders>
            <w:shd w:val="clear" w:color="auto" w:fill="auto"/>
            <w:noWrap/>
            <w:vAlign w:val="bottom"/>
            <w:hideMark/>
          </w:tcPr>
          <w:p w14:paraId="0AFE611E"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z</w:t>
            </w:r>
          </w:p>
        </w:tc>
        <w:tc>
          <w:tcPr>
            <w:tcW w:w="851" w:type="dxa"/>
            <w:gridSpan w:val="2"/>
            <w:tcBorders>
              <w:top w:val="nil"/>
              <w:left w:val="nil"/>
              <w:bottom w:val="single" w:sz="4" w:space="0" w:color="auto"/>
              <w:right w:val="nil"/>
            </w:tcBorders>
            <w:shd w:val="clear" w:color="auto" w:fill="auto"/>
            <w:noWrap/>
            <w:vAlign w:val="bottom"/>
            <w:hideMark/>
          </w:tcPr>
          <w:p w14:paraId="5BE05F7D"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t</w:t>
            </w:r>
            <w:r w:rsidRPr="007B3DED">
              <w:rPr>
                <w:rFonts w:ascii="Arial" w:eastAsia="Times New Roman" w:hAnsi="Arial" w:cs="Arial"/>
                <w:color w:val="000000"/>
                <w:sz w:val="22"/>
                <w:szCs w:val="22"/>
                <w:vertAlign w:val="subscript"/>
                <w:lang w:val="en-GB"/>
              </w:rPr>
              <w:t>max</w:t>
            </w:r>
          </w:p>
        </w:tc>
        <w:tc>
          <w:tcPr>
            <w:tcW w:w="1497" w:type="dxa"/>
            <w:gridSpan w:val="2"/>
            <w:tcBorders>
              <w:top w:val="nil"/>
              <w:left w:val="nil"/>
              <w:bottom w:val="single" w:sz="4" w:space="0" w:color="auto"/>
              <w:right w:val="nil"/>
            </w:tcBorders>
            <w:shd w:val="clear" w:color="auto" w:fill="auto"/>
            <w:noWrap/>
            <w:vAlign w:val="bottom"/>
            <w:hideMark/>
          </w:tcPr>
          <w:p w14:paraId="49BC22F7"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p</w:t>
            </w:r>
            <w:r w:rsidRPr="007B3DED">
              <w:rPr>
                <w:rFonts w:ascii="Arial" w:eastAsia="Times New Roman" w:hAnsi="Arial" w:cs="Arial"/>
                <w:color w:val="000000"/>
                <w:sz w:val="22"/>
                <w:szCs w:val="22"/>
                <w:vertAlign w:val="subscript"/>
                <w:lang w:val="en-GB"/>
              </w:rPr>
              <w:t>cluster</w:t>
            </w:r>
          </w:p>
        </w:tc>
      </w:tr>
      <w:tr w:rsidR="0002316A" w:rsidRPr="007B3DED" w14:paraId="785A8361" w14:textId="77777777" w:rsidTr="005F3681">
        <w:trPr>
          <w:gridAfter w:val="2"/>
          <w:wAfter w:w="1202" w:type="dxa"/>
          <w:trHeight w:val="260"/>
        </w:trPr>
        <w:tc>
          <w:tcPr>
            <w:tcW w:w="1244" w:type="dxa"/>
            <w:tcBorders>
              <w:top w:val="nil"/>
              <w:left w:val="nil"/>
              <w:bottom w:val="nil"/>
              <w:right w:val="nil"/>
            </w:tcBorders>
            <w:shd w:val="clear" w:color="auto" w:fill="auto"/>
            <w:noWrap/>
            <w:vAlign w:val="bottom"/>
            <w:hideMark/>
          </w:tcPr>
          <w:p w14:paraId="097FFD7E" w14:textId="77777777" w:rsidR="0002316A" w:rsidRPr="007B3DED" w:rsidRDefault="0002316A" w:rsidP="005F3681">
            <w:pPr>
              <w:rPr>
                <w:rFonts w:ascii="Arial" w:eastAsia="Times New Roman" w:hAnsi="Arial" w:cs="Arial"/>
                <w:color w:val="000000"/>
                <w:sz w:val="22"/>
                <w:szCs w:val="22"/>
                <w:lang w:val="en-GB"/>
              </w:rPr>
            </w:pPr>
          </w:p>
        </w:tc>
        <w:tc>
          <w:tcPr>
            <w:tcW w:w="913" w:type="dxa"/>
            <w:gridSpan w:val="2"/>
            <w:tcBorders>
              <w:top w:val="nil"/>
              <w:left w:val="nil"/>
              <w:bottom w:val="nil"/>
              <w:right w:val="nil"/>
            </w:tcBorders>
            <w:shd w:val="clear" w:color="auto" w:fill="auto"/>
            <w:noWrap/>
            <w:vAlign w:val="bottom"/>
            <w:hideMark/>
          </w:tcPr>
          <w:p w14:paraId="0E2C81D9" w14:textId="77777777" w:rsidR="0002316A" w:rsidRPr="007B3DED" w:rsidRDefault="0002316A" w:rsidP="005F3681">
            <w:pPr>
              <w:rPr>
                <w:rFonts w:ascii="Arial" w:eastAsia="Times New Roman" w:hAnsi="Arial" w:cs="Arial"/>
                <w:color w:val="000000"/>
                <w:sz w:val="22"/>
                <w:szCs w:val="22"/>
                <w:lang w:val="en-GB"/>
              </w:rPr>
            </w:pPr>
          </w:p>
        </w:tc>
        <w:tc>
          <w:tcPr>
            <w:tcW w:w="3954" w:type="dxa"/>
            <w:gridSpan w:val="2"/>
            <w:tcBorders>
              <w:top w:val="nil"/>
              <w:left w:val="nil"/>
              <w:bottom w:val="nil"/>
              <w:right w:val="nil"/>
            </w:tcBorders>
            <w:shd w:val="clear" w:color="auto" w:fill="auto"/>
            <w:noWrap/>
            <w:vAlign w:val="bottom"/>
            <w:hideMark/>
          </w:tcPr>
          <w:p w14:paraId="5C7E28B6" w14:textId="77777777" w:rsidR="0002316A" w:rsidRPr="007B3DED" w:rsidRDefault="0002316A" w:rsidP="005F3681">
            <w:pPr>
              <w:rPr>
                <w:rFonts w:ascii="Arial" w:eastAsia="Times New Roman" w:hAnsi="Arial" w:cs="Arial"/>
                <w:color w:val="000000"/>
                <w:sz w:val="22"/>
                <w:szCs w:val="22"/>
                <w:lang w:val="en-GB"/>
              </w:rPr>
            </w:pPr>
          </w:p>
        </w:tc>
        <w:tc>
          <w:tcPr>
            <w:tcW w:w="708" w:type="dxa"/>
            <w:gridSpan w:val="2"/>
            <w:tcBorders>
              <w:top w:val="nil"/>
              <w:left w:val="nil"/>
              <w:bottom w:val="nil"/>
              <w:right w:val="nil"/>
            </w:tcBorders>
            <w:shd w:val="clear" w:color="auto" w:fill="auto"/>
            <w:noWrap/>
            <w:vAlign w:val="bottom"/>
            <w:hideMark/>
          </w:tcPr>
          <w:p w14:paraId="6EECC7E0" w14:textId="77777777" w:rsidR="0002316A" w:rsidRPr="007B3DED" w:rsidRDefault="0002316A" w:rsidP="005F3681">
            <w:pPr>
              <w:jc w:val="center"/>
              <w:rPr>
                <w:rFonts w:ascii="Arial" w:eastAsia="Times New Roman" w:hAnsi="Arial" w:cs="Arial"/>
                <w:color w:val="000000"/>
                <w:sz w:val="22"/>
                <w:szCs w:val="22"/>
                <w:lang w:val="en-GB"/>
              </w:rPr>
            </w:pPr>
          </w:p>
        </w:tc>
        <w:tc>
          <w:tcPr>
            <w:tcW w:w="993" w:type="dxa"/>
            <w:gridSpan w:val="2"/>
            <w:tcBorders>
              <w:top w:val="nil"/>
              <w:left w:val="nil"/>
              <w:bottom w:val="nil"/>
              <w:right w:val="nil"/>
            </w:tcBorders>
            <w:shd w:val="clear" w:color="auto" w:fill="auto"/>
            <w:noWrap/>
            <w:vAlign w:val="bottom"/>
            <w:hideMark/>
          </w:tcPr>
          <w:p w14:paraId="0CBCBC96" w14:textId="77777777" w:rsidR="0002316A" w:rsidRPr="007B3DED" w:rsidRDefault="0002316A" w:rsidP="005F3681">
            <w:pPr>
              <w:jc w:val="center"/>
              <w:rPr>
                <w:rFonts w:ascii="Arial" w:eastAsia="Times New Roman" w:hAnsi="Arial" w:cs="Arial"/>
                <w:color w:val="000000"/>
                <w:sz w:val="22"/>
                <w:szCs w:val="22"/>
                <w:lang w:val="en-GB"/>
              </w:rPr>
            </w:pPr>
          </w:p>
        </w:tc>
        <w:tc>
          <w:tcPr>
            <w:tcW w:w="1417" w:type="dxa"/>
            <w:gridSpan w:val="2"/>
            <w:tcBorders>
              <w:top w:val="nil"/>
              <w:left w:val="nil"/>
              <w:bottom w:val="nil"/>
              <w:right w:val="nil"/>
            </w:tcBorders>
            <w:shd w:val="clear" w:color="auto" w:fill="auto"/>
            <w:noWrap/>
            <w:vAlign w:val="bottom"/>
            <w:hideMark/>
          </w:tcPr>
          <w:p w14:paraId="3F9B82A9" w14:textId="77777777" w:rsidR="0002316A" w:rsidRPr="007B3DED" w:rsidRDefault="0002316A" w:rsidP="005F3681">
            <w:pPr>
              <w:jc w:val="center"/>
              <w:rPr>
                <w:rFonts w:ascii="Arial" w:eastAsia="Times New Roman" w:hAnsi="Arial" w:cs="Arial"/>
                <w:color w:val="000000"/>
                <w:sz w:val="22"/>
                <w:szCs w:val="22"/>
                <w:lang w:val="en-GB"/>
              </w:rPr>
            </w:pPr>
          </w:p>
        </w:tc>
        <w:tc>
          <w:tcPr>
            <w:tcW w:w="567" w:type="dxa"/>
            <w:tcBorders>
              <w:top w:val="nil"/>
              <w:left w:val="nil"/>
              <w:bottom w:val="nil"/>
              <w:right w:val="nil"/>
            </w:tcBorders>
            <w:shd w:val="clear" w:color="auto" w:fill="auto"/>
            <w:noWrap/>
            <w:vAlign w:val="bottom"/>
            <w:hideMark/>
          </w:tcPr>
          <w:p w14:paraId="4BF061C3" w14:textId="77777777" w:rsidR="0002316A" w:rsidRPr="007B3DED" w:rsidRDefault="0002316A" w:rsidP="005F3681">
            <w:pPr>
              <w:jc w:val="center"/>
              <w:rPr>
                <w:rFonts w:ascii="Arial" w:eastAsia="Times New Roman" w:hAnsi="Arial" w:cs="Arial"/>
                <w:color w:val="000000"/>
                <w:sz w:val="22"/>
                <w:szCs w:val="22"/>
                <w:lang w:val="en-GB"/>
              </w:rPr>
            </w:pPr>
          </w:p>
        </w:tc>
        <w:tc>
          <w:tcPr>
            <w:tcW w:w="567" w:type="dxa"/>
            <w:tcBorders>
              <w:top w:val="nil"/>
              <w:left w:val="nil"/>
              <w:bottom w:val="nil"/>
              <w:right w:val="nil"/>
            </w:tcBorders>
            <w:shd w:val="clear" w:color="auto" w:fill="auto"/>
            <w:noWrap/>
            <w:vAlign w:val="bottom"/>
            <w:hideMark/>
          </w:tcPr>
          <w:p w14:paraId="5FE363E8" w14:textId="77777777" w:rsidR="0002316A" w:rsidRPr="007B3DED" w:rsidRDefault="0002316A" w:rsidP="005F3681">
            <w:pPr>
              <w:jc w:val="center"/>
              <w:rPr>
                <w:rFonts w:ascii="Arial" w:eastAsia="Times New Roman" w:hAnsi="Arial" w:cs="Arial"/>
                <w:color w:val="000000"/>
                <w:sz w:val="22"/>
                <w:szCs w:val="22"/>
                <w:lang w:val="en-GB"/>
              </w:rPr>
            </w:pPr>
          </w:p>
        </w:tc>
        <w:tc>
          <w:tcPr>
            <w:tcW w:w="567" w:type="dxa"/>
            <w:gridSpan w:val="2"/>
            <w:tcBorders>
              <w:top w:val="nil"/>
              <w:left w:val="nil"/>
              <w:bottom w:val="nil"/>
              <w:right w:val="nil"/>
            </w:tcBorders>
            <w:shd w:val="clear" w:color="auto" w:fill="auto"/>
            <w:noWrap/>
            <w:vAlign w:val="bottom"/>
            <w:hideMark/>
          </w:tcPr>
          <w:p w14:paraId="317CB4F7" w14:textId="77777777" w:rsidR="0002316A" w:rsidRPr="007B3DED" w:rsidRDefault="0002316A" w:rsidP="005F3681">
            <w:pPr>
              <w:jc w:val="center"/>
              <w:rPr>
                <w:rFonts w:ascii="Arial" w:eastAsia="Times New Roman" w:hAnsi="Arial" w:cs="Arial"/>
                <w:color w:val="000000"/>
                <w:sz w:val="22"/>
                <w:szCs w:val="22"/>
                <w:lang w:val="en-GB"/>
              </w:rPr>
            </w:pPr>
          </w:p>
        </w:tc>
        <w:tc>
          <w:tcPr>
            <w:tcW w:w="851" w:type="dxa"/>
            <w:gridSpan w:val="2"/>
            <w:tcBorders>
              <w:top w:val="nil"/>
              <w:left w:val="nil"/>
              <w:bottom w:val="nil"/>
              <w:right w:val="nil"/>
            </w:tcBorders>
            <w:shd w:val="clear" w:color="auto" w:fill="auto"/>
            <w:noWrap/>
            <w:vAlign w:val="bottom"/>
            <w:hideMark/>
          </w:tcPr>
          <w:p w14:paraId="183740F9" w14:textId="77777777" w:rsidR="0002316A" w:rsidRPr="007B3DED" w:rsidRDefault="0002316A" w:rsidP="005F3681">
            <w:pPr>
              <w:jc w:val="center"/>
              <w:rPr>
                <w:rFonts w:ascii="Arial" w:eastAsia="Times New Roman" w:hAnsi="Arial" w:cs="Arial"/>
                <w:color w:val="000000"/>
                <w:sz w:val="22"/>
                <w:szCs w:val="22"/>
                <w:lang w:val="en-GB"/>
              </w:rPr>
            </w:pPr>
          </w:p>
        </w:tc>
        <w:tc>
          <w:tcPr>
            <w:tcW w:w="1497" w:type="dxa"/>
            <w:gridSpan w:val="2"/>
            <w:tcBorders>
              <w:top w:val="nil"/>
              <w:left w:val="nil"/>
              <w:bottom w:val="nil"/>
              <w:right w:val="nil"/>
            </w:tcBorders>
            <w:shd w:val="clear" w:color="auto" w:fill="auto"/>
            <w:noWrap/>
            <w:vAlign w:val="bottom"/>
            <w:hideMark/>
          </w:tcPr>
          <w:p w14:paraId="1AC450C0" w14:textId="77777777" w:rsidR="0002316A" w:rsidRPr="007B3DED" w:rsidRDefault="0002316A" w:rsidP="005F3681">
            <w:pPr>
              <w:jc w:val="center"/>
              <w:rPr>
                <w:rFonts w:ascii="Arial" w:eastAsia="Times New Roman" w:hAnsi="Arial" w:cs="Arial"/>
                <w:color w:val="000000"/>
                <w:sz w:val="22"/>
                <w:szCs w:val="22"/>
                <w:lang w:val="en-GB"/>
              </w:rPr>
            </w:pPr>
          </w:p>
        </w:tc>
      </w:tr>
      <w:tr w:rsidR="0002316A" w:rsidRPr="007B3DED" w14:paraId="70F9EB8B" w14:textId="77777777" w:rsidTr="005F3681">
        <w:trPr>
          <w:gridAfter w:val="2"/>
          <w:wAfter w:w="1202" w:type="dxa"/>
          <w:trHeight w:val="1560"/>
        </w:trPr>
        <w:tc>
          <w:tcPr>
            <w:tcW w:w="1244" w:type="dxa"/>
            <w:tcBorders>
              <w:top w:val="nil"/>
              <w:left w:val="nil"/>
              <w:bottom w:val="nil"/>
              <w:right w:val="nil"/>
            </w:tcBorders>
            <w:shd w:val="clear" w:color="auto" w:fill="auto"/>
            <w:noWrap/>
            <w:hideMark/>
          </w:tcPr>
          <w:p w14:paraId="436F11D4" w14:textId="77777777" w:rsidR="0002316A" w:rsidRPr="007B3DED" w:rsidRDefault="0002316A" w:rsidP="005F3681">
            <w:pP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SA</w:t>
            </w:r>
          </w:p>
        </w:tc>
        <w:tc>
          <w:tcPr>
            <w:tcW w:w="913" w:type="dxa"/>
            <w:gridSpan w:val="2"/>
            <w:tcBorders>
              <w:top w:val="nil"/>
              <w:left w:val="nil"/>
              <w:bottom w:val="nil"/>
              <w:right w:val="nil"/>
            </w:tcBorders>
            <w:shd w:val="clear" w:color="auto" w:fill="auto"/>
            <w:noWrap/>
            <w:hideMark/>
          </w:tcPr>
          <w:p w14:paraId="170BD9F2"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1</w:t>
            </w:r>
          </w:p>
        </w:tc>
        <w:tc>
          <w:tcPr>
            <w:tcW w:w="3954" w:type="dxa"/>
            <w:gridSpan w:val="2"/>
            <w:tcBorders>
              <w:top w:val="nil"/>
              <w:left w:val="nil"/>
              <w:bottom w:val="nil"/>
              <w:right w:val="nil"/>
            </w:tcBorders>
            <w:shd w:val="clear" w:color="auto" w:fill="auto"/>
            <w:vAlign w:val="bottom"/>
            <w:hideMark/>
          </w:tcPr>
          <w:p w14:paraId="3CB4C9EB" w14:textId="77777777" w:rsidR="0002316A" w:rsidRPr="007B3DED" w:rsidRDefault="0002316A" w:rsidP="005F3681">
            <w:pP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superior frontal gyrus, rostral middle frontal gyrus, caudal middle frontal gyrus, frontal pole, lateral orbital frontal cortex, medial orbital frontal cortex, pars opercularis, pars triangularis, insula, precentral gyrus, pars orbitalis</w:t>
            </w:r>
          </w:p>
        </w:tc>
        <w:tc>
          <w:tcPr>
            <w:tcW w:w="708" w:type="dxa"/>
            <w:gridSpan w:val="2"/>
            <w:tcBorders>
              <w:top w:val="nil"/>
              <w:left w:val="nil"/>
              <w:bottom w:val="nil"/>
              <w:right w:val="nil"/>
            </w:tcBorders>
            <w:shd w:val="clear" w:color="auto" w:fill="auto"/>
            <w:noWrap/>
            <w:hideMark/>
          </w:tcPr>
          <w:p w14:paraId="7EB30E44"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L</w:t>
            </w:r>
          </w:p>
        </w:tc>
        <w:tc>
          <w:tcPr>
            <w:tcW w:w="993" w:type="dxa"/>
            <w:gridSpan w:val="2"/>
            <w:tcBorders>
              <w:top w:val="nil"/>
              <w:left w:val="nil"/>
              <w:bottom w:val="nil"/>
              <w:right w:val="nil"/>
            </w:tcBorders>
            <w:shd w:val="clear" w:color="auto" w:fill="auto"/>
            <w:noWrap/>
            <w:hideMark/>
          </w:tcPr>
          <w:p w14:paraId="36373500"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6</w:t>
            </w:r>
          </w:p>
        </w:tc>
        <w:tc>
          <w:tcPr>
            <w:tcW w:w="1417" w:type="dxa"/>
            <w:gridSpan w:val="2"/>
            <w:tcBorders>
              <w:top w:val="nil"/>
              <w:left w:val="nil"/>
              <w:bottom w:val="nil"/>
              <w:right w:val="nil"/>
            </w:tcBorders>
            <w:shd w:val="clear" w:color="auto" w:fill="auto"/>
            <w:noWrap/>
            <w:hideMark/>
          </w:tcPr>
          <w:p w14:paraId="7EF902DC"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18233</w:t>
            </w:r>
          </w:p>
        </w:tc>
        <w:tc>
          <w:tcPr>
            <w:tcW w:w="567" w:type="dxa"/>
            <w:tcBorders>
              <w:top w:val="nil"/>
              <w:left w:val="nil"/>
              <w:bottom w:val="nil"/>
              <w:right w:val="nil"/>
            </w:tcBorders>
            <w:shd w:val="clear" w:color="auto" w:fill="auto"/>
            <w:noWrap/>
            <w:hideMark/>
          </w:tcPr>
          <w:p w14:paraId="31EFA52A"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-9</w:t>
            </w:r>
          </w:p>
        </w:tc>
        <w:tc>
          <w:tcPr>
            <w:tcW w:w="567" w:type="dxa"/>
            <w:tcBorders>
              <w:top w:val="nil"/>
              <w:left w:val="nil"/>
              <w:bottom w:val="nil"/>
              <w:right w:val="nil"/>
            </w:tcBorders>
            <w:shd w:val="clear" w:color="auto" w:fill="auto"/>
            <w:noWrap/>
            <w:hideMark/>
          </w:tcPr>
          <w:p w14:paraId="519FFDD2"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25</w:t>
            </w:r>
          </w:p>
        </w:tc>
        <w:tc>
          <w:tcPr>
            <w:tcW w:w="567" w:type="dxa"/>
            <w:gridSpan w:val="2"/>
            <w:tcBorders>
              <w:top w:val="nil"/>
              <w:left w:val="nil"/>
              <w:bottom w:val="nil"/>
              <w:right w:val="nil"/>
            </w:tcBorders>
            <w:shd w:val="clear" w:color="auto" w:fill="auto"/>
            <w:noWrap/>
            <w:hideMark/>
          </w:tcPr>
          <w:p w14:paraId="01D938A9"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51</w:t>
            </w:r>
          </w:p>
        </w:tc>
        <w:tc>
          <w:tcPr>
            <w:tcW w:w="851" w:type="dxa"/>
            <w:gridSpan w:val="2"/>
            <w:tcBorders>
              <w:top w:val="nil"/>
              <w:left w:val="nil"/>
              <w:bottom w:val="nil"/>
              <w:right w:val="nil"/>
            </w:tcBorders>
            <w:shd w:val="clear" w:color="auto" w:fill="auto"/>
            <w:noWrap/>
            <w:hideMark/>
          </w:tcPr>
          <w:p w14:paraId="055F56EF"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-5.15</w:t>
            </w:r>
          </w:p>
        </w:tc>
        <w:tc>
          <w:tcPr>
            <w:tcW w:w="1497" w:type="dxa"/>
            <w:gridSpan w:val="2"/>
            <w:tcBorders>
              <w:top w:val="nil"/>
              <w:left w:val="nil"/>
              <w:bottom w:val="nil"/>
              <w:right w:val="nil"/>
            </w:tcBorders>
            <w:shd w:val="clear" w:color="auto" w:fill="auto"/>
            <w:noWrap/>
            <w:hideMark/>
          </w:tcPr>
          <w:p w14:paraId="3596B065"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2.08 x 10</w:t>
            </w:r>
            <w:r w:rsidRPr="007B3DED">
              <w:rPr>
                <w:rFonts w:ascii="Arial" w:eastAsia="Times New Roman" w:hAnsi="Arial" w:cs="Arial"/>
                <w:color w:val="000000"/>
                <w:sz w:val="22"/>
                <w:szCs w:val="22"/>
                <w:vertAlign w:val="superscript"/>
                <w:lang w:val="en-GB"/>
              </w:rPr>
              <w:t>-5</w:t>
            </w:r>
          </w:p>
        </w:tc>
      </w:tr>
      <w:tr w:rsidR="0002316A" w:rsidRPr="007B3DED" w14:paraId="3D3E8BD8" w14:textId="77777777" w:rsidTr="005F3681">
        <w:trPr>
          <w:gridAfter w:val="2"/>
          <w:wAfter w:w="1202" w:type="dxa"/>
          <w:trHeight w:val="780"/>
        </w:trPr>
        <w:tc>
          <w:tcPr>
            <w:tcW w:w="1244" w:type="dxa"/>
            <w:tcBorders>
              <w:top w:val="nil"/>
              <w:left w:val="nil"/>
              <w:bottom w:val="nil"/>
              <w:right w:val="nil"/>
            </w:tcBorders>
            <w:shd w:val="clear" w:color="auto" w:fill="auto"/>
            <w:noWrap/>
            <w:hideMark/>
          </w:tcPr>
          <w:p w14:paraId="3ECE34BF" w14:textId="77777777" w:rsidR="0002316A" w:rsidRPr="007B3DED" w:rsidRDefault="0002316A" w:rsidP="005F3681">
            <w:pPr>
              <w:jc w:val="center"/>
              <w:rPr>
                <w:rFonts w:ascii="Arial" w:eastAsia="Times New Roman" w:hAnsi="Arial" w:cs="Arial"/>
                <w:color w:val="000000"/>
                <w:sz w:val="22"/>
                <w:szCs w:val="22"/>
                <w:lang w:val="en-GB"/>
              </w:rPr>
            </w:pPr>
          </w:p>
        </w:tc>
        <w:tc>
          <w:tcPr>
            <w:tcW w:w="913" w:type="dxa"/>
            <w:gridSpan w:val="2"/>
            <w:tcBorders>
              <w:top w:val="nil"/>
              <w:left w:val="nil"/>
              <w:bottom w:val="nil"/>
              <w:right w:val="nil"/>
            </w:tcBorders>
            <w:shd w:val="clear" w:color="auto" w:fill="auto"/>
            <w:noWrap/>
            <w:hideMark/>
          </w:tcPr>
          <w:p w14:paraId="07CA69F8"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2</w:t>
            </w:r>
          </w:p>
        </w:tc>
        <w:tc>
          <w:tcPr>
            <w:tcW w:w="3954" w:type="dxa"/>
            <w:gridSpan w:val="2"/>
            <w:tcBorders>
              <w:top w:val="nil"/>
              <w:left w:val="nil"/>
              <w:bottom w:val="nil"/>
              <w:right w:val="nil"/>
            </w:tcBorders>
            <w:shd w:val="clear" w:color="auto" w:fill="auto"/>
            <w:vAlign w:val="bottom"/>
            <w:hideMark/>
          </w:tcPr>
          <w:p w14:paraId="7B4FF5C1" w14:textId="77777777" w:rsidR="0002316A" w:rsidRPr="007B3DED" w:rsidRDefault="0002316A" w:rsidP="005F3681">
            <w:pP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lateral orbital frontal cortex, rostral middle frontal gyrus, pars triangularis, pars opercularis, insula, pars orbitalis</w:t>
            </w:r>
          </w:p>
        </w:tc>
        <w:tc>
          <w:tcPr>
            <w:tcW w:w="708" w:type="dxa"/>
            <w:gridSpan w:val="2"/>
            <w:tcBorders>
              <w:top w:val="nil"/>
              <w:left w:val="nil"/>
              <w:bottom w:val="nil"/>
              <w:right w:val="nil"/>
            </w:tcBorders>
            <w:shd w:val="clear" w:color="auto" w:fill="auto"/>
            <w:noWrap/>
            <w:hideMark/>
          </w:tcPr>
          <w:p w14:paraId="4593E2D3"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R</w:t>
            </w:r>
          </w:p>
        </w:tc>
        <w:tc>
          <w:tcPr>
            <w:tcW w:w="993" w:type="dxa"/>
            <w:gridSpan w:val="2"/>
            <w:tcBorders>
              <w:top w:val="nil"/>
              <w:left w:val="nil"/>
              <w:bottom w:val="nil"/>
              <w:right w:val="nil"/>
            </w:tcBorders>
            <w:shd w:val="clear" w:color="auto" w:fill="auto"/>
            <w:noWrap/>
            <w:hideMark/>
          </w:tcPr>
          <w:p w14:paraId="5571A047"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11</w:t>
            </w:r>
          </w:p>
        </w:tc>
        <w:tc>
          <w:tcPr>
            <w:tcW w:w="1417" w:type="dxa"/>
            <w:gridSpan w:val="2"/>
            <w:tcBorders>
              <w:top w:val="nil"/>
              <w:left w:val="nil"/>
              <w:bottom w:val="nil"/>
              <w:right w:val="nil"/>
            </w:tcBorders>
            <w:shd w:val="clear" w:color="auto" w:fill="auto"/>
            <w:noWrap/>
            <w:hideMark/>
          </w:tcPr>
          <w:p w14:paraId="031EA5A7"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6279</w:t>
            </w:r>
          </w:p>
        </w:tc>
        <w:tc>
          <w:tcPr>
            <w:tcW w:w="567" w:type="dxa"/>
            <w:tcBorders>
              <w:top w:val="nil"/>
              <w:left w:val="nil"/>
              <w:bottom w:val="nil"/>
              <w:right w:val="nil"/>
            </w:tcBorders>
            <w:shd w:val="clear" w:color="auto" w:fill="auto"/>
            <w:noWrap/>
            <w:hideMark/>
          </w:tcPr>
          <w:p w14:paraId="49C5B3AF"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21</w:t>
            </w:r>
          </w:p>
        </w:tc>
        <w:tc>
          <w:tcPr>
            <w:tcW w:w="567" w:type="dxa"/>
            <w:tcBorders>
              <w:top w:val="nil"/>
              <w:left w:val="nil"/>
              <w:bottom w:val="nil"/>
              <w:right w:val="nil"/>
            </w:tcBorders>
            <w:shd w:val="clear" w:color="auto" w:fill="auto"/>
            <w:noWrap/>
            <w:hideMark/>
          </w:tcPr>
          <w:p w14:paraId="408B2D5F"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32</w:t>
            </w:r>
          </w:p>
        </w:tc>
        <w:tc>
          <w:tcPr>
            <w:tcW w:w="567" w:type="dxa"/>
            <w:gridSpan w:val="2"/>
            <w:tcBorders>
              <w:top w:val="nil"/>
              <w:left w:val="nil"/>
              <w:bottom w:val="nil"/>
              <w:right w:val="nil"/>
            </w:tcBorders>
            <w:shd w:val="clear" w:color="auto" w:fill="auto"/>
            <w:noWrap/>
            <w:hideMark/>
          </w:tcPr>
          <w:p w14:paraId="36587C77"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-13</w:t>
            </w:r>
          </w:p>
        </w:tc>
        <w:tc>
          <w:tcPr>
            <w:tcW w:w="851" w:type="dxa"/>
            <w:gridSpan w:val="2"/>
            <w:tcBorders>
              <w:top w:val="nil"/>
              <w:left w:val="nil"/>
              <w:bottom w:val="nil"/>
              <w:right w:val="nil"/>
            </w:tcBorders>
            <w:shd w:val="clear" w:color="auto" w:fill="auto"/>
            <w:noWrap/>
            <w:hideMark/>
          </w:tcPr>
          <w:p w14:paraId="7BABAABB"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-5.95</w:t>
            </w:r>
          </w:p>
        </w:tc>
        <w:tc>
          <w:tcPr>
            <w:tcW w:w="1497" w:type="dxa"/>
            <w:gridSpan w:val="2"/>
            <w:tcBorders>
              <w:top w:val="nil"/>
              <w:left w:val="nil"/>
              <w:bottom w:val="nil"/>
              <w:right w:val="nil"/>
            </w:tcBorders>
            <w:shd w:val="clear" w:color="auto" w:fill="auto"/>
            <w:noWrap/>
            <w:hideMark/>
          </w:tcPr>
          <w:p w14:paraId="03C1CF68"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9.16 x 10</w:t>
            </w:r>
            <w:r w:rsidRPr="007B3DED">
              <w:rPr>
                <w:rFonts w:ascii="Arial" w:eastAsia="Times New Roman" w:hAnsi="Arial" w:cs="Arial"/>
                <w:color w:val="000000"/>
                <w:sz w:val="22"/>
                <w:szCs w:val="22"/>
                <w:vertAlign w:val="superscript"/>
                <w:lang w:val="en-GB"/>
              </w:rPr>
              <w:t>-3</w:t>
            </w:r>
          </w:p>
        </w:tc>
      </w:tr>
      <w:tr w:rsidR="0002316A" w:rsidRPr="007B3DED" w14:paraId="11FE3C99" w14:textId="77777777" w:rsidTr="005F3681">
        <w:trPr>
          <w:gridAfter w:val="2"/>
          <w:wAfter w:w="1202" w:type="dxa"/>
          <w:trHeight w:val="260"/>
        </w:trPr>
        <w:tc>
          <w:tcPr>
            <w:tcW w:w="1244" w:type="dxa"/>
            <w:tcBorders>
              <w:top w:val="nil"/>
              <w:left w:val="nil"/>
              <w:bottom w:val="nil"/>
              <w:right w:val="nil"/>
            </w:tcBorders>
            <w:shd w:val="clear" w:color="auto" w:fill="auto"/>
            <w:noWrap/>
            <w:hideMark/>
          </w:tcPr>
          <w:p w14:paraId="2387A6C0" w14:textId="77777777" w:rsidR="0002316A" w:rsidRPr="007B3DED" w:rsidRDefault="0002316A" w:rsidP="005F3681">
            <w:pPr>
              <w:jc w:val="center"/>
              <w:rPr>
                <w:rFonts w:ascii="Arial" w:eastAsia="Times New Roman" w:hAnsi="Arial" w:cs="Arial"/>
                <w:color w:val="000000"/>
                <w:sz w:val="22"/>
                <w:szCs w:val="22"/>
                <w:lang w:val="en-GB"/>
              </w:rPr>
            </w:pPr>
          </w:p>
        </w:tc>
        <w:tc>
          <w:tcPr>
            <w:tcW w:w="913" w:type="dxa"/>
            <w:gridSpan w:val="2"/>
            <w:tcBorders>
              <w:top w:val="nil"/>
              <w:left w:val="nil"/>
              <w:bottom w:val="nil"/>
              <w:right w:val="nil"/>
            </w:tcBorders>
            <w:shd w:val="clear" w:color="auto" w:fill="auto"/>
            <w:noWrap/>
            <w:hideMark/>
          </w:tcPr>
          <w:p w14:paraId="2614DFF4" w14:textId="77777777" w:rsidR="0002316A" w:rsidRPr="007B3DED" w:rsidRDefault="0002316A" w:rsidP="005F3681">
            <w:pPr>
              <w:jc w:val="center"/>
              <w:rPr>
                <w:rFonts w:ascii="Arial" w:eastAsia="Times New Roman" w:hAnsi="Arial" w:cs="Arial"/>
                <w:color w:val="000000"/>
                <w:sz w:val="22"/>
                <w:szCs w:val="22"/>
                <w:lang w:val="en-GB"/>
              </w:rPr>
            </w:pPr>
          </w:p>
        </w:tc>
        <w:tc>
          <w:tcPr>
            <w:tcW w:w="3954" w:type="dxa"/>
            <w:gridSpan w:val="2"/>
            <w:tcBorders>
              <w:top w:val="nil"/>
              <w:left w:val="nil"/>
              <w:bottom w:val="nil"/>
              <w:right w:val="nil"/>
            </w:tcBorders>
            <w:shd w:val="clear" w:color="auto" w:fill="auto"/>
            <w:vAlign w:val="bottom"/>
            <w:hideMark/>
          </w:tcPr>
          <w:p w14:paraId="09E06311" w14:textId="77777777" w:rsidR="0002316A" w:rsidRPr="007B3DED" w:rsidRDefault="0002316A" w:rsidP="005F3681">
            <w:pPr>
              <w:rPr>
                <w:rFonts w:ascii="Arial" w:eastAsia="Times New Roman" w:hAnsi="Arial" w:cs="Arial"/>
                <w:color w:val="000000"/>
                <w:sz w:val="22"/>
                <w:szCs w:val="22"/>
                <w:lang w:val="en-GB"/>
              </w:rPr>
            </w:pPr>
          </w:p>
        </w:tc>
        <w:tc>
          <w:tcPr>
            <w:tcW w:w="708" w:type="dxa"/>
            <w:gridSpan w:val="2"/>
            <w:tcBorders>
              <w:top w:val="nil"/>
              <w:left w:val="nil"/>
              <w:bottom w:val="nil"/>
              <w:right w:val="nil"/>
            </w:tcBorders>
            <w:shd w:val="clear" w:color="auto" w:fill="auto"/>
            <w:noWrap/>
            <w:hideMark/>
          </w:tcPr>
          <w:p w14:paraId="00454B56" w14:textId="77777777" w:rsidR="0002316A" w:rsidRPr="007B3DED" w:rsidRDefault="0002316A" w:rsidP="005F3681">
            <w:pPr>
              <w:jc w:val="center"/>
              <w:rPr>
                <w:rFonts w:ascii="Arial" w:eastAsia="Times New Roman" w:hAnsi="Arial" w:cs="Arial"/>
                <w:color w:val="000000"/>
                <w:sz w:val="22"/>
                <w:szCs w:val="22"/>
                <w:lang w:val="en-GB"/>
              </w:rPr>
            </w:pPr>
          </w:p>
        </w:tc>
        <w:tc>
          <w:tcPr>
            <w:tcW w:w="993" w:type="dxa"/>
            <w:gridSpan w:val="2"/>
            <w:tcBorders>
              <w:top w:val="nil"/>
              <w:left w:val="nil"/>
              <w:bottom w:val="nil"/>
              <w:right w:val="nil"/>
            </w:tcBorders>
            <w:shd w:val="clear" w:color="auto" w:fill="auto"/>
            <w:noWrap/>
            <w:hideMark/>
          </w:tcPr>
          <w:p w14:paraId="7D67D2A4" w14:textId="77777777" w:rsidR="0002316A" w:rsidRPr="007B3DED" w:rsidRDefault="0002316A" w:rsidP="005F3681">
            <w:pPr>
              <w:jc w:val="center"/>
              <w:rPr>
                <w:rFonts w:ascii="Arial" w:eastAsia="Times New Roman" w:hAnsi="Arial" w:cs="Arial"/>
                <w:color w:val="000000"/>
                <w:sz w:val="22"/>
                <w:szCs w:val="22"/>
                <w:lang w:val="en-GB"/>
              </w:rPr>
            </w:pPr>
          </w:p>
        </w:tc>
        <w:tc>
          <w:tcPr>
            <w:tcW w:w="1417" w:type="dxa"/>
            <w:gridSpan w:val="2"/>
            <w:tcBorders>
              <w:top w:val="nil"/>
              <w:left w:val="nil"/>
              <w:bottom w:val="nil"/>
              <w:right w:val="nil"/>
            </w:tcBorders>
            <w:shd w:val="clear" w:color="auto" w:fill="auto"/>
            <w:noWrap/>
            <w:hideMark/>
          </w:tcPr>
          <w:p w14:paraId="1308EAD3" w14:textId="77777777" w:rsidR="0002316A" w:rsidRPr="007B3DED" w:rsidRDefault="0002316A" w:rsidP="005F3681">
            <w:pPr>
              <w:jc w:val="center"/>
              <w:rPr>
                <w:rFonts w:ascii="Arial" w:eastAsia="Times New Roman" w:hAnsi="Arial" w:cs="Arial"/>
                <w:color w:val="000000"/>
                <w:sz w:val="22"/>
                <w:szCs w:val="22"/>
                <w:lang w:val="en-GB"/>
              </w:rPr>
            </w:pPr>
          </w:p>
        </w:tc>
        <w:tc>
          <w:tcPr>
            <w:tcW w:w="567" w:type="dxa"/>
            <w:tcBorders>
              <w:top w:val="nil"/>
              <w:left w:val="nil"/>
              <w:bottom w:val="nil"/>
              <w:right w:val="nil"/>
            </w:tcBorders>
            <w:shd w:val="clear" w:color="auto" w:fill="auto"/>
            <w:noWrap/>
            <w:hideMark/>
          </w:tcPr>
          <w:p w14:paraId="58254B49" w14:textId="77777777" w:rsidR="0002316A" w:rsidRPr="007B3DED" w:rsidRDefault="0002316A" w:rsidP="005F3681">
            <w:pPr>
              <w:jc w:val="center"/>
              <w:rPr>
                <w:rFonts w:ascii="Arial" w:eastAsia="Times New Roman" w:hAnsi="Arial" w:cs="Arial"/>
                <w:color w:val="000000"/>
                <w:sz w:val="22"/>
                <w:szCs w:val="22"/>
                <w:lang w:val="en-GB"/>
              </w:rPr>
            </w:pPr>
          </w:p>
        </w:tc>
        <w:tc>
          <w:tcPr>
            <w:tcW w:w="567" w:type="dxa"/>
            <w:tcBorders>
              <w:top w:val="nil"/>
              <w:left w:val="nil"/>
              <w:bottom w:val="nil"/>
              <w:right w:val="nil"/>
            </w:tcBorders>
            <w:shd w:val="clear" w:color="auto" w:fill="auto"/>
            <w:noWrap/>
            <w:hideMark/>
          </w:tcPr>
          <w:p w14:paraId="29C616EC" w14:textId="77777777" w:rsidR="0002316A" w:rsidRPr="007B3DED" w:rsidRDefault="0002316A" w:rsidP="005F3681">
            <w:pPr>
              <w:jc w:val="center"/>
              <w:rPr>
                <w:rFonts w:ascii="Arial" w:eastAsia="Times New Roman" w:hAnsi="Arial" w:cs="Arial"/>
                <w:color w:val="000000"/>
                <w:sz w:val="22"/>
                <w:szCs w:val="22"/>
                <w:lang w:val="en-GB"/>
              </w:rPr>
            </w:pPr>
          </w:p>
        </w:tc>
        <w:tc>
          <w:tcPr>
            <w:tcW w:w="567" w:type="dxa"/>
            <w:gridSpan w:val="2"/>
            <w:tcBorders>
              <w:top w:val="nil"/>
              <w:left w:val="nil"/>
              <w:bottom w:val="nil"/>
              <w:right w:val="nil"/>
            </w:tcBorders>
            <w:shd w:val="clear" w:color="auto" w:fill="auto"/>
            <w:noWrap/>
            <w:hideMark/>
          </w:tcPr>
          <w:p w14:paraId="2F6A28B0" w14:textId="77777777" w:rsidR="0002316A" w:rsidRPr="007B3DED" w:rsidRDefault="0002316A" w:rsidP="005F3681">
            <w:pPr>
              <w:jc w:val="center"/>
              <w:rPr>
                <w:rFonts w:ascii="Arial" w:eastAsia="Times New Roman" w:hAnsi="Arial" w:cs="Arial"/>
                <w:color w:val="000000"/>
                <w:sz w:val="22"/>
                <w:szCs w:val="22"/>
                <w:lang w:val="en-GB"/>
              </w:rPr>
            </w:pPr>
          </w:p>
        </w:tc>
        <w:tc>
          <w:tcPr>
            <w:tcW w:w="851" w:type="dxa"/>
            <w:gridSpan w:val="2"/>
            <w:tcBorders>
              <w:top w:val="nil"/>
              <w:left w:val="nil"/>
              <w:bottom w:val="nil"/>
              <w:right w:val="nil"/>
            </w:tcBorders>
            <w:shd w:val="clear" w:color="auto" w:fill="auto"/>
            <w:noWrap/>
            <w:hideMark/>
          </w:tcPr>
          <w:p w14:paraId="16A7B052" w14:textId="77777777" w:rsidR="0002316A" w:rsidRPr="007B3DED" w:rsidRDefault="0002316A" w:rsidP="005F3681">
            <w:pPr>
              <w:jc w:val="center"/>
              <w:rPr>
                <w:rFonts w:ascii="Arial" w:eastAsia="Times New Roman" w:hAnsi="Arial" w:cs="Arial"/>
                <w:color w:val="000000"/>
                <w:sz w:val="22"/>
                <w:szCs w:val="22"/>
                <w:lang w:val="en-GB"/>
              </w:rPr>
            </w:pPr>
          </w:p>
        </w:tc>
        <w:tc>
          <w:tcPr>
            <w:tcW w:w="1497" w:type="dxa"/>
            <w:gridSpan w:val="2"/>
            <w:tcBorders>
              <w:top w:val="nil"/>
              <w:left w:val="nil"/>
              <w:bottom w:val="nil"/>
              <w:right w:val="nil"/>
            </w:tcBorders>
            <w:shd w:val="clear" w:color="auto" w:fill="auto"/>
            <w:noWrap/>
            <w:hideMark/>
          </w:tcPr>
          <w:p w14:paraId="3A23FF19" w14:textId="77777777" w:rsidR="0002316A" w:rsidRPr="007B3DED" w:rsidRDefault="0002316A" w:rsidP="005F3681">
            <w:pPr>
              <w:jc w:val="center"/>
              <w:rPr>
                <w:rFonts w:ascii="Arial" w:eastAsia="Times New Roman" w:hAnsi="Arial" w:cs="Arial"/>
                <w:color w:val="000000"/>
                <w:sz w:val="22"/>
                <w:szCs w:val="22"/>
                <w:lang w:val="en-GB"/>
              </w:rPr>
            </w:pPr>
          </w:p>
        </w:tc>
      </w:tr>
      <w:tr w:rsidR="0002316A" w:rsidRPr="007B3DED" w14:paraId="03E1E5DE" w14:textId="77777777" w:rsidTr="005F3681">
        <w:trPr>
          <w:gridAfter w:val="2"/>
          <w:wAfter w:w="1202" w:type="dxa"/>
          <w:trHeight w:val="780"/>
        </w:trPr>
        <w:tc>
          <w:tcPr>
            <w:tcW w:w="1244" w:type="dxa"/>
            <w:tcBorders>
              <w:top w:val="nil"/>
              <w:left w:val="nil"/>
              <w:bottom w:val="nil"/>
              <w:right w:val="nil"/>
            </w:tcBorders>
            <w:shd w:val="clear" w:color="auto" w:fill="auto"/>
            <w:noWrap/>
            <w:hideMark/>
          </w:tcPr>
          <w:p w14:paraId="61677D3E" w14:textId="77777777" w:rsidR="0002316A" w:rsidRPr="007B3DED" w:rsidRDefault="0002316A" w:rsidP="005F3681">
            <w:pP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CV</w:t>
            </w:r>
          </w:p>
        </w:tc>
        <w:tc>
          <w:tcPr>
            <w:tcW w:w="913" w:type="dxa"/>
            <w:gridSpan w:val="2"/>
            <w:tcBorders>
              <w:top w:val="nil"/>
              <w:left w:val="nil"/>
              <w:bottom w:val="nil"/>
              <w:right w:val="nil"/>
            </w:tcBorders>
            <w:shd w:val="clear" w:color="auto" w:fill="auto"/>
            <w:noWrap/>
            <w:hideMark/>
          </w:tcPr>
          <w:p w14:paraId="5A3C8E2F"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1</w:t>
            </w:r>
          </w:p>
        </w:tc>
        <w:tc>
          <w:tcPr>
            <w:tcW w:w="3954" w:type="dxa"/>
            <w:gridSpan w:val="2"/>
            <w:tcBorders>
              <w:top w:val="nil"/>
              <w:left w:val="nil"/>
              <w:bottom w:val="nil"/>
              <w:right w:val="nil"/>
            </w:tcBorders>
            <w:shd w:val="clear" w:color="auto" w:fill="auto"/>
            <w:hideMark/>
          </w:tcPr>
          <w:p w14:paraId="60279908" w14:textId="77777777" w:rsidR="0002316A" w:rsidRPr="007B3DED" w:rsidRDefault="0002316A" w:rsidP="005F3681">
            <w:pP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precentral gyrus, rostral middle frontal gyrus, insula, pars triangularis, pars opercularis, postcentral gyrus</w:t>
            </w:r>
          </w:p>
        </w:tc>
        <w:tc>
          <w:tcPr>
            <w:tcW w:w="708" w:type="dxa"/>
            <w:gridSpan w:val="2"/>
            <w:tcBorders>
              <w:top w:val="nil"/>
              <w:left w:val="nil"/>
              <w:bottom w:val="nil"/>
              <w:right w:val="nil"/>
            </w:tcBorders>
            <w:shd w:val="clear" w:color="auto" w:fill="auto"/>
            <w:noWrap/>
            <w:hideMark/>
          </w:tcPr>
          <w:p w14:paraId="6A26C0B0"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R</w:t>
            </w:r>
          </w:p>
        </w:tc>
        <w:tc>
          <w:tcPr>
            <w:tcW w:w="993" w:type="dxa"/>
            <w:gridSpan w:val="2"/>
            <w:tcBorders>
              <w:top w:val="nil"/>
              <w:left w:val="nil"/>
              <w:bottom w:val="nil"/>
              <w:right w:val="nil"/>
            </w:tcBorders>
            <w:shd w:val="clear" w:color="auto" w:fill="auto"/>
            <w:noWrap/>
            <w:hideMark/>
          </w:tcPr>
          <w:p w14:paraId="6BBB18A5"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44</w:t>
            </w:r>
          </w:p>
        </w:tc>
        <w:tc>
          <w:tcPr>
            <w:tcW w:w="1417" w:type="dxa"/>
            <w:gridSpan w:val="2"/>
            <w:tcBorders>
              <w:top w:val="nil"/>
              <w:left w:val="nil"/>
              <w:bottom w:val="nil"/>
              <w:right w:val="nil"/>
            </w:tcBorders>
            <w:shd w:val="clear" w:color="auto" w:fill="auto"/>
            <w:noWrap/>
            <w:hideMark/>
          </w:tcPr>
          <w:p w14:paraId="03AD63B0"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8892</w:t>
            </w:r>
          </w:p>
        </w:tc>
        <w:tc>
          <w:tcPr>
            <w:tcW w:w="567" w:type="dxa"/>
            <w:tcBorders>
              <w:top w:val="nil"/>
              <w:left w:val="nil"/>
              <w:bottom w:val="nil"/>
              <w:right w:val="nil"/>
            </w:tcBorders>
            <w:shd w:val="clear" w:color="auto" w:fill="auto"/>
            <w:noWrap/>
            <w:hideMark/>
          </w:tcPr>
          <w:p w14:paraId="2DD60039"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48</w:t>
            </w:r>
          </w:p>
        </w:tc>
        <w:tc>
          <w:tcPr>
            <w:tcW w:w="567" w:type="dxa"/>
            <w:tcBorders>
              <w:top w:val="nil"/>
              <w:left w:val="nil"/>
              <w:bottom w:val="nil"/>
              <w:right w:val="nil"/>
            </w:tcBorders>
            <w:shd w:val="clear" w:color="auto" w:fill="auto"/>
            <w:noWrap/>
            <w:hideMark/>
          </w:tcPr>
          <w:p w14:paraId="05D367C6"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6</w:t>
            </w:r>
          </w:p>
        </w:tc>
        <w:tc>
          <w:tcPr>
            <w:tcW w:w="567" w:type="dxa"/>
            <w:gridSpan w:val="2"/>
            <w:tcBorders>
              <w:top w:val="nil"/>
              <w:left w:val="nil"/>
              <w:bottom w:val="nil"/>
              <w:right w:val="nil"/>
            </w:tcBorders>
            <w:shd w:val="clear" w:color="auto" w:fill="auto"/>
            <w:noWrap/>
            <w:hideMark/>
          </w:tcPr>
          <w:p w14:paraId="1A40BAF9"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13</w:t>
            </w:r>
          </w:p>
        </w:tc>
        <w:tc>
          <w:tcPr>
            <w:tcW w:w="851" w:type="dxa"/>
            <w:gridSpan w:val="2"/>
            <w:tcBorders>
              <w:top w:val="nil"/>
              <w:left w:val="nil"/>
              <w:bottom w:val="nil"/>
              <w:right w:val="nil"/>
            </w:tcBorders>
            <w:shd w:val="clear" w:color="auto" w:fill="auto"/>
            <w:noWrap/>
            <w:hideMark/>
          </w:tcPr>
          <w:p w14:paraId="4051A418"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-5.29</w:t>
            </w:r>
          </w:p>
        </w:tc>
        <w:tc>
          <w:tcPr>
            <w:tcW w:w="1497" w:type="dxa"/>
            <w:gridSpan w:val="2"/>
            <w:tcBorders>
              <w:top w:val="nil"/>
              <w:left w:val="nil"/>
              <w:bottom w:val="nil"/>
              <w:right w:val="nil"/>
            </w:tcBorders>
            <w:shd w:val="clear" w:color="auto" w:fill="auto"/>
            <w:noWrap/>
            <w:hideMark/>
          </w:tcPr>
          <w:p w14:paraId="17110B0E"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3.34 x 10</w:t>
            </w:r>
            <w:r w:rsidRPr="007B3DED">
              <w:rPr>
                <w:rFonts w:ascii="Arial" w:eastAsia="Times New Roman" w:hAnsi="Arial" w:cs="Arial"/>
                <w:color w:val="000000"/>
                <w:sz w:val="22"/>
                <w:szCs w:val="22"/>
                <w:vertAlign w:val="superscript"/>
                <w:lang w:val="en-GB"/>
              </w:rPr>
              <w:t>-4</w:t>
            </w:r>
          </w:p>
        </w:tc>
      </w:tr>
      <w:tr w:rsidR="0002316A" w:rsidRPr="007B3DED" w14:paraId="454DF9C0" w14:textId="77777777" w:rsidTr="005F3681">
        <w:trPr>
          <w:gridAfter w:val="2"/>
          <w:wAfter w:w="1202" w:type="dxa"/>
          <w:trHeight w:val="280"/>
        </w:trPr>
        <w:tc>
          <w:tcPr>
            <w:tcW w:w="1244" w:type="dxa"/>
            <w:tcBorders>
              <w:top w:val="nil"/>
              <w:left w:val="nil"/>
              <w:bottom w:val="nil"/>
              <w:right w:val="nil"/>
            </w:tcBorders>
            <w:shd w:val="clear" w:color="auto" w:fill="auto"/>
            <w:noWrap/>
            <w:hideMark/>
          </w:tcPr>
          <w:p w14:paraId="0C3C1798" w14:textId="77777777" w:rsidR="0002316A" w:rsidRPr="007B3DED" w:rsidRDefault="0002316A" w:rsidP="005F3681">
            <w:pPr>
              <w:jc w:val="center"/>
              <w:rPr>
                <w:rFonts w:ascii="Arial" w:eastAsia="Times New Roman" w:hAnsi="Arial" w:cs="Arial"/>
                <w:color w:val="000000"/>
                <w:sz w:val="22"/>
                <w:szCs w:val="22"/>
                <w:lang w:val="en-GB"/>
              </w:rPr>
            </w:pPr>
          </w:p>
        </w:tc>
        <w:tc>
          <w:tcPr>
            <w:tcW w:w="913" w:type="dxa"/>
            <w:gridSpan w:val="2"/>
            <w:tcBorders>
              <w:top w:val="nil"/>
              <w:left w:val="nil"/>
              <w:bottom w:val="nil"/>
              <w:right w:val="nil"/>
            </w:tcBorders>
            <w:shd w:val="clear" w:color="auto" w:fill="auto"/>
            <w:noWrap/>
            <w:hideMark/>
          </w:tcPr>
          <w:p w14:paraId="7861E08E"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2</w:t>
            </w:r>
          </w:p>
        </w:tc>
        <w:tc>
          <w:tcPr>
            <w:tcW w:w="3954" w:type="dxa"/>
            <w:gridSpan w:val="2"/>
            <w:tcBorders>
              <w:top w:val="nil"/>
              <w:left w:val="nil"/>
              <w:bottom w:val="nil"/>
              <w:right w:val="nil"/>
            </w:tcBorders>
            <w:shd w:val="clear" w:color="auto" w:fill="auto"/>
            <w:hideMark/>
          </w:tcPr>
          <w:p w14:paraId="5DF0AC95" w14:textId="77777777" w:rsidR="0002316A" w:rsidRPr="007B3DED" w:rsidRDefault="0002316A" w:rsidP="005F3681">
            <w:pP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superior frontal gyrus</w:t>
            </w:r>
          </w:p>
        </w:tc>
        <w:tc>
          <w:tcPr>
            <w:tcW w:w="708" w:type="dxa"/>
            <w:gridSpan w:val="2"/>
            <w:tcBorders>
              <w:top w:val="nil"/>
              <w:left w:val="nil"/>
              <w:bottom w:val="nil"/>
              <w:right w:val="nil"/>
            </w:tcBorders>
            <w:shd w:val="clear" w:color="auto" w:fill="auto"/>
            <w:noWrap/>
            <w:hideMark/>
          </w:tcPr>
          <w:p w14:paraId="7519B9DA"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L</w:t>
            </w:r>
          </w:p>
        </w:tc>
        <w:tc>
          <w:tcPr>
            <w:tcW w:w="993" w:type="dxa"/>
            <w:gridSpan w:val="2"/>
            <w:tcBorders>
              <w:top w:val="nil"/>
              <w:left w:val="nil"/>
              <w:bottom w:val="nil"/>
              <w:right w:val="nil"/>
            </w:tcBorders>
            <w:shd w:val="clear" w:color="auto" w:fill="auto"/>
            <w:noWrap/>
            <w:hideMark/>
          </w:tcPr>
          <w:p w14:paraId="76FBC558"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9</w:t>
            </w:r>
          </w:p>
        </w:tc>
        <w:tc>
          <w:tcPr>
            <w:tcW w:w="1417" w:type="dxa"/>
            <w:gridSpan w:val="2"/>
            <w:tcBorders>
              <w:top w:val="nil"/>
              <w:left w:val="nil"/>
              <w:bottom w:val="nil"/>
              <w:right w:val="nil"/>
            </w:tcBorders>
            <w:shd w:val="clear" w:color="auto" w:fill="auto"/>
            <w:noWrap/>
            <w:hideMark/>
          </w:tcPr>
          <w:p w14:paraId="33CEC990"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6279</w:t>
            </w:r>
          </w:p>
        </w:tc>
        <w:tc>
          <w:tcPr>
            <w:tcW w:w="567" w:type="dxa"/>
            <w:tcBorders>
              <w:top w:val="nil"/>
              <w:left w:val="nil"/>
              <w:bottom w:val="nil"/>
              <w:right w:val="nil"/>
            </w:tcBorders>
            <w:shd w:val="clear" w:color="auto" w:fill="auto"/>
            <w:noWrap/>
            <w:hideMark/>
          </w:tcPr>
          <w:p w14:paraId="1F177840"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-13</w:t>
            </w:r>
          </w:p>
        </w:tc>
        <w:tc>
          <w:tcPr>
            <w:tcW w:w="567" w:type="dxa"/>
            <w:tcBorders>
              <w:top w:val="nil"/>
              <w:left w:val="nil"/>
              <w:bottom w:val="nil"/>
              <w:right w:val="nil"/>
            </w:tcBorders>
            <w:shd w:val="clear" w:color="auto" w:fill="auto"/>
            <w:noWrap/>
            <w:hideMark/>
          </w:tcPr>
          <w:p w14:paraId="626CE80B"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43</w:t>
            </w:r>
          </w:p>
        </w:tc>
        <w:tc>
          <w:tcPr>
            <w:tcW w:w="567" w:type="dxa"/>
            <w:gridSpan w:val="2"/>
            <w:tcBorders>
              <w:top w:val="nil"/>
              <w:left w:val="nil"/>
              <w:bottom w:val="nil"/>
              <w:right w:val="nil"/>
            </w:tcBorders>
            <w:shd w:val="clear" w:color="auto" w:fill="auto"/>
            <w:noWrap/>
            <w:hideMark/>
          </w:tcPr>
          <w:p w14:paraId="070EE210"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16</w:t>
            </w:r>
          </w:p>
        </w:tc>
        <w:tc>
          <w:tcPr>
            <w:tcW w:w="851" w:type="dxa"/>
            <w:gridSpan w:val="2"/>
            <w:tcBorders>
              <w:top w:val="nil"/>
              <w:left w:val="nil"/>
              <w:bottom w:val="nil"/>
              <w:right w:val="nil"/>
            </w:tcBorders>
            <w:shd w:val="clear" w:color="auto" w:fill="auto"/>
            <w:noWrap/>
            <w:hideMark/>
          </w:tcPr>
          <w:p w14:paraId="61034126"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-3.9</w:t>
            </w:r>
          </w:p>
        </w:tc>
        <w:tc>
          <w:tcPr>
            <w:tcW w:w="1497" w:type="dxa"/>
            <w:gridSpan w:val="2"/>
            <w:tcBorders>
              <w:top w:val="nil"/>
              <w:left w:val="nil"/>
              <w:bottom w:val="nil"/>
              <w:right w:val="nil"/>
            </w:tcBorders>
            <w:shd w:val="clear" w:color="auto" w:fill="auto"/>
            <w:noWrap/>
            <w:hideMark/>
          </w:tcPr>
          <w:p w14:paraId="54E737A1"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1.06 x 10</w:t>
            </w:r>
            <w:r w:rsidRPr="007B3DED">
              <w:rPr>
                <w:rFonts w:ascii="Arial" w:eastAsia="Times New Roman" w:hAnsi="Arial" w:cs="Arial"/>
                <w:color w:val="000000"/>
                <w:sz w:val="22"/>
                <w:szCs w:val="22"/>
                <w:vertAlign w:val="superscript"/>
                <w:lang w:val="en-GB"/>
              </w:rPr>
              <w:t>-3</w:t>
            </w:r>
          </w:p>
        </w:tc>
      </w:tr>
      <w:tr w:rsidR="0002316A" w:rsidRPr="007B3DED" w14:paraId="7DA1BD6E" w14:textId="77777777" w:rsidTr="005F3681">
        <w:trPr>
          <w:gridAfter w:val="2"/>
          <w:wAfter w:w="1202" w:type="dxa"/>
          <w:trHeight w:val="780"/>
        </w:trPr>
        <w:tc>
          <w:tcPr>
            <w:tcW w:w="1244" w:type="dxa"/>
            <w:tcBorders>
              <w:top w:val="nil"/>
              <w:left w:val="nil"/>
              <w:bottom w:val="nil"/>
              <w:right w:val="nil"/>
            </w:tcBorders>
            <w:shd w:val="clear" w:color="auto" w:fill="auto"/>
            <w:noWrap/>
            <w:hideMark/>
          </w:tcPr>
          <w:p w14:paraId="5B73018E" w14:textId="77777777" w:rsidR="0002316A" w:rsidRPr="007B3DED" w:rsidRDefault="0002316A" w:rsidP="005F3681">
            <w:pPr>
              <w:jc w:val="center"/>
              <w:rPr>
                <w:rFonts w:ascii="Arial" w:eastAsia="Times New Roman" w:hAnsi="Arial" w:cs="Arial"/>
                <w:color w:val="000000"/>
                <w:sz w:val="22"/>
                <w:szCs w:val="22"/>
                <w:lang w:val="en-GB"/>
              </w:rPr>
            </w:pPr>
          </w:p>
        </w:tc>
        <w:tc>
          <w:tcPr>
            <w:tcW w:w="913" w:type="dxa"/>
            <w:gridSpan w:val="2"/>
            <w:tcBorders>
              <w:top w:val="nil"/>
              <w:left w:val="nil"/>
              <w:bottom w:val="nil"/>
              <w:right w:val="nil"/>
            </w:tcBorders>
            <w:shd w:val="clear" w:color="auto" w:fill="auto"/>
            <w:noWrap/>
            <w:hideMark/>
          </w:tcPr>
          <w:p w14:paraId="660F9760"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3</w:t>
            </w:r>
          </w:p>
        </w:tc>
        <w:tc>
          <w:tcPr>
            <w:tcW w:w="3954" w:type="dxa"/>
            <w:gridSpan w:val="2"/>
            <w:tcBorders>
              <w:top w:val="nil"/>
              <w:left w:val="nil"/>
              <w:bottom w:val="nil"/>
              <w:right w:val="nil"/>
            </w:tcBorders>
            <w:shd w:val="clear" w:color="auto" w:fill="auto"/>
            <w:hideMark/>
          </w:tcPr>
          <w:p w14:paraId="7F2F2233" w14:textId="77777777" w:rsidR="0002316A" w:rsidRPr="007B3DED" w:rsidRDefault="0002316A" w:rsidP="005F3681">
            <w:pP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inferior frontal gyrus, pars opercularis, pars triangularis, rostral middle frontal gyrus, caudal middle frontal gyrus</w:t>
            </w:r>
          </w:p>
        </w:tc>
        <w:tc>
          <w:tcPr>
            <w:tcW w:w="708" w:type="dxa"/>
            <w:gridSpan w:val="2"/>
            <w:tcBorders>
              <w:top w:val="nil"/>
              <w:left w:val="nil"/>
              <w:bottom w:val="nil"/>
              <w:right w:val="nil"/>
            </w:tcBorders>
            <w:shd w:val="clear" w:color="auto" w:fill="auto"/>
            <w:noWrap/>
            <w:hideMark/>
          </w:tcPr>
          <w:p w14:paraId="4E40070C"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L</w:t>
            </w:r>
          </w:p>
        </w:tc>
        <w:tc>
          <w:tcPr>
            <w:tcW w:w="993" w:type="dxa"/>
            <w:gridSpan w:val="2"/>
            <w:tcBorders>
              <w:top w:val="nil"/>
              <w:left w:val="nil"/>
              <w:bottom w:val="nil"/>
              <w:right w:val="nil"/>
            </w:tcBorders>
            <w:shd w:val="clear" w:color="auto" w:fill="auto"/>
            <w:noWrap/>
            <w:hideMark/>
          </w:tcPr>
          <w:p w14:paraId="095B2F67"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45</w:t>
            </w:r>
          </w:p>
        </w:tc>
        <w:tc>
          <w:tcPr>
            <w:tcW w:w="1417" w:type="dxa"/>
            <w:gridSpan w:val="2"/>
            <w:tcBorders>
              <w:top w:val="nil"/>
              <w:left w:val="nil"/>
              <w:bottom w:val="nil"/>
              <w:right w:val="nil"/>
            </w:tcBorders>
            <w:shd w:val="clear" w:color="auto" w:fill="auto"/>
            <w:noWrap/>
            <w:hideMark/>
          </w:tcPr>
          <w:p w14:paraId="0A36464E"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6786</w:t>
            </w:r>
          </w:p>
        </w:tc>
        <w:tc>
          <w:tcPr>
            <w:tcW w:w="567" w:type="dxa"/>
            <w:tcBorders>
              <w:top w:val="nil"/>
              <w:left w:val="nil"/>
              <w:bottom w:val="nil"/>
              <w:right w:val="nil"/>
            </w:tcBorders>
            <w:shd w:val="clear" w:color="auto" w:fill="auto"/>
            <w:noWrap/>
            <w:hideMark/>
          </w:tcPr>
          <w:p w14:paraId="5F33E78A"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-45</w:t>
            </w:r>
          </w:p>
        </w:tc>
        <w:tc>
          <w:tcPr>
            <w:tcW w:w="567" w:type="dxa"/>
            <w:tcBorders>
              <w:top w:val="nil"/>
              <w:left w:val="nil"/>
              <w:bottom w:val="nil"/>
              <w:right w:val="nil"/>
            </w:tcBorders>
            <w:shd w:val="clear" w:color="auto" w:fill="auto"/>
            <w:noWrap/>
            <w:hideMark/>
          </w:tcPr>
          <w:p w14:paraId="654684BA"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25</w:t>
            </w:r>
          </w:p>
        </w:tc>
        <w:tc>
          <w:tcPr>
            <w:tcW w:w="567" w:type="dxa"/>
            <w:gridSpan w:val="2"/>
            <w:tcBorders>
              <w:top w:val="nil"/>
              <w:left w:val="nil"/>
              <w:bottom w:val="nil"/>
              <w:right w:val="nil"/>
            </w:tcBorders>
            <w:shd w:val="clear" w:color="auto" w:fill="auto"/>
            <w:noWrap/>
            <w:hideMark/>
          </w:tcPr>
          <w:p w14:paraId="5D5ECD7A"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4</w:t>
            </w:r>
          </w:p>
        </w:tc>
        <w:tc>
          <w:tcPr>
            <w:tcW w:w="851" w:type="dxa"/>
            <w:gridSpan w:val="2"/>
            <w:tcBorders>
              <w:top w:val="nil"/>
              <w:left w:val="nil"/>
              <w:bottom w:val="nil"/>
              <w:right w:val="nil"/>
            </w:tcBorders>
            <w:shd w:val="clear" w:color="auto" w:fill="auto"/>
            <w:noWrap/>
            <w:hideMark/>
          </w:tcPr>
          <w:p w14:paraId="18FDAF78"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-4.56</w:t>
            </w:r>
          </w:p>
        </w:tc>
        <w:tc>
          <w:tcPr>
            <w:tcW w:w="1497" w:type="dxa"/>
            <w:gridSpan w:val="2"/>
            <w:tcBorders>
              <w:top w:val="nil"/>
              <w:left w:val="nil"/>
              <w:bottom w:val="nil"/>
              <w:right w:val="nil"/>
            </w:tcBorders>
            <w:shd w:val="clear" w:color="auto" w:fill="auto"/>
            <w:noWrap/>
            <w:hideMark/>
          </w:tcPr>
          <w:p w14:paraId="57414285"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7.90 x 10</w:t>
            </w:r>
            <w:r w:rsidRPr="007B3DED">
              <w:rPr>
                <w:rFonts w:ascii="Arial" w:eastAsia="Times New Roman" w:hAnsi="Arial" w:cs="Arial"/>
                <w:color w:val="000000"/>
                <w:sz w:val="22"/>
                <w:szCs w:val="22"/>
                <w:vertAlign w:val="superscript"/>
                <w:lang w:val="en-GB"/>
              </w:rPr>
              <w:t>-3</w:t>
            </w:r>
          </w:p>
        </w:tc>
      </w:tr>
      <w:tr w:rsidR="0002316A" w:rsidRPr="007B3DED" w14:paraId="3BEBF144" w14:textId="77777777" w:rsidTr="005F3681">
        <w:trPr>
          <w:gridAfter w:val="2"/>
          <w:wAfter w:w="1202" w:type="dxa"/>
          <w:trHeight w:val="1040"/>
        </w:trPr>
        <w:tc>
          <w:tcPr>
            <w:tcW w:w="1244" w:type="dxa"/>
            <w:tcBorders>
              <w:top w:val="nil"/>
              <w:left w:val="nil"/>
              <w:bottom w:val="nil"/>
              <w:right w:val="nil"/>
            </w:tcBorders>
            <w:shd w:val="clear" w:color="auto" w:fill="auto"/>
            <w:noWrap/>
            <w:hideMark/>
          </w:tcPr>
          <w:p w14:paraId="40ED325A" w14:textId="77777777" w:rsidR="0002316A" w:rsidRPr="007B3DED" w:rsidRDefault="0002316A" w:rsidP="005F3681">
            <w:pPr>
              <w:jc w:val="center"/>
              <w:rPr>
                <w:rFonts w:ascii="Arial" w:eastAsia="Times New Roman" w:hAnsi="Arial" w:cs="Arial"/>
                <w:color w:val="000000"/>
                <w:sz w:val="22"/>
                <w:szCs w:val="22"/>
                <w:lang w:val="en-GB"/>
              </w:rPr>
            </w:pPr>
          </w:p>
        </w:tc>
        <w:tc>
          <w:tcPr>
            <w:tcW w:w="913" w:type="dxa"/>
            <w:gridSpan w:val="2"/>
            <w:tcBorders>
              <w:top w:val="nil"/>
              <w:left w:val="nil"/>
              <w:bottom w:val="nil"/>
              <w:right w:val="nil"/>
            </w:tcBorders>
            <w:shd w:val="clear" w:color="auto" w:fill="auto"/>
            <w:noWrap/>
            <w:hideMark/>
          </w:tcPr>
          <w:p w14:paraId="66B1773E"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4</w:t>
            </w:r>
          </w:p>
        </w:tc>
        <w:tc>
          <w:tcPr>
            <w:tcW w:w="3954" w:type="dxa"/>
            <w:gridSpan w:val="2"/>
            <w:tcBorders>
              <w:top w:val="nil"/>
              <w:left w:val="nil"/>
              <w:bottom w:val="nil"/>
              <w:right w:val="nil"/>
            </w:tcBorders>
            <w:shd w:val="clear" w:color="auto" w:fill="auto"/>
            <w:hideMark/>
          </w:tcPr>
          <w:p w14:paraId="4138697A" w14:textId="77777777" w:rsidR="0002316A" w:rsidRPr="007B3DED" w:rsidRDefault="0002316A" w:rsidP="005F3681">
            <w:pP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inferior temporal gyrus, middle temporal gyrus, inferior parietal cortex, lateral occipital cortex, fusiform gyrus, lingual gyrus</w:t>
            </w:r>
          </w:p>
        </w:tc>
        <w:tc>
          <w:tcPr>
            <w:tcW w:w="708" w:type="dxa"/>
            <w:gridSpan w:val="2"/>
            <w:tcBorders>
              <w:top w:val="nil"/>
              <w:left w:val="nil"/>
              <w:bottom w:val="nil"/>
              <w:right w:val="nil"/>
            </w:tcBorders>
            <w:shd w:val="clear" w:color="auto" w:fill="auto"/>
            <w:noWrap/>
            <w:hideMark/>
          </w:tcPr>
          <w:p w14:paraId="2C335300"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R</w:t>
            </w:r>
          </w:p>
        </w:tc>
        <w:tc>
          <w:tcPr>
            <w:tcW w:w="993" w:type="dxa"/>
            <w:gridSpan w:val="2"/>
            <w:tcBorders>
              <w:top w:val="nil"/>
              <w:left w:val="nil"/>
              <w:bottom w:val="nil"/>
              <w:right w:val="nil"/>
            </w:tcBorders>
            <w:shd w:val="clear" w:color="auto" w:fill="auto"/>
            <w:noWrap/>
            <w:hideMark/>
          </w:tcPr>
          <w:p w14:paraId="4803ED22"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37</w:t>
            </w:r>
          </w:p>
        </w:tc>
        <w:tc>
          <w:tcPr>
            <w:tcW w:w="1417" w:type="dxa"/>
            <w:gridSpan w:val="2"/>
            <w:tcBorders>
              <w:top w:val="nil"/>
              <w:left w:val="nil"/>
              <w:bottom w:val="nil"/>
              <w:right w:val="nil"/>
            </w:tcBorders>
            <w:shd w:val="clear" w:color="auto" w:fill="auto"/>
            <w:noWrap/>
            <w:hideMark/>
          </w:tcPr>
          <w:p w14:paraId="59AD0BCA"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4250</w:t>
            </w:r>
          </w:p>
        </w:tc>
        <w:tc>
          <w:tcPr>
            <w:tcW w:w="567" w:type="dxa"/>
            <w:tcBorders>
              <w:top w:val="nil"/>
              <w:left w:val="nil"/>
              <w:bottom w:val="nil"/>
              <w:right w:val="nil"/>
            </w:tcBorders>
            <w:shd w:val="clear" w:color="auto" w:fill="auto"/>
            <w:noWrap/>
            <w:hideMark/>
          </w:tcPr>
          <w:p w14:paraId="5EAA2770"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42</w:t>
            </w:r>
          </w:p>
        </w:tc>
        <w:tc>
          <w:tcPr>
            <w:tcW w:w="567" w:type="dxa"/>
            <w:tcBorders>
              <w:top w:val="nil"/>
              <w:left w:val="nil"/>
              <w:bottom w:val="nil"/>
              <w:right w:val="nil"/>
            </w:tcBorders>
            <w:shd w:val="clear" w:color="auto" w:fill="auto"/>
            <w:noWrap/>
            <w:hideMark/>
          </w:tcPr>
          <w:p w14:paraId="40B7D279"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-67</w:t>
            </w:r>
          </w:p>
        </w:tc>
        <w:tc>
          <w:tcPr>
            <w:tcW w:w="567" w:type="dxa"/>
            <w:gridSpan w:val="2"/>
            <w:tcBorders>
              <w:top w:val="nil"/>
              <w:left w:val="nil"/>
              <w:bottom w:val="nil"/>
              <w:right w:val="nil"/>
            </w:tcBorders>
            <w:shd w:val="clear" w:color="auto" w:fill="auto"/>
            <w:noWrap/>
            <w:hideMark/>
          </w:tcPr>
          <w:p w14:paraId="67123D2D"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2</w:t>
            </w:r>
          </w:p>
        </w:tc>
        <w:tc>
          <w:tcPr>
            <w:tcW w:w="851" w:type="dxa"/>
            <w:gridSpan w:val="2"/>
            <w:tcBorders>
              <w:top w:val="nil"/>
              <w:left w:val="nil"/>
              <w:bottom w:val="nil"/>
              <w:right w:val="nil"/>
            </w:tcBorders>
            <w:shd w:val="clear" w:color="auto" w:fill="auto"/>
            <w:noWrap/>
            <w:hideMark/>
          </w:tcPr>
          <w:p w14:paraId="41C1E3A7"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-5.24</w:t>
            </w:r>
          </w:p>
        </w:tc>
        <w:tc>
          <w:tcPr>
            <w:tcW w:w="1497" w:type="dxa"/>
            <w:gridSpan w:val="2"/>
            <w:tcBorders>
              <w:top w:val="nil"/>
              <w:left w:val="nil"/>
              <w:bottom w:val="nil"/>
              <w:right w:val="nil"/>
            </w:tcBorders>
            <w:shd w:val="clear" w:color="auto" w:fill="auto"/>
            <w:noWrap/>
            <w:hideMark/>
          </w:tcPr>
          <w:p w14:paraId="4647649F"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1.28 x 10</w:t>
            </w:r>
            <w:r w:rsidRPr="007B3DED">
              <w:rPr>
                <w:rFonts w:ascii="Arial" w:eastAsia="Times New Roman" w:hAnsi="Arial" w:cs="Arial"/>
                <w:color w:val="000000"/>
                <w:sz w:val="22"/>
                <w:szCs w:val="22"/>
                <w:vertAlign w:val="superscript"/>
                <w:lang w:val="en-GB"/>
              </w:rPr>
              <w:t>-2</w:t>
            </w:r>
          </w:p>
        </w:tc>
      </w:tr>
      <w:tr w:rsidR="0002316A" w:rsidRPr="007B3DED" w14:paraId="09EA36D1" w14:textId="77777777" w:rsidTr="005F3681">
        <w:trPr>
          <w:gridAfter w:val="2"/>
          <w:wAfter w:w="1202" w:type="dxa"/>
          <w:trHeight w:val="520"/>
        </w:trPr>
        <w:tc>
          <w:tcPr>
            <w:tcW w:w="1244" w:type="dxa"/>
            <w:tcBorders>
              <w:top w:val="nil"/>
              <w:left w:val="nil"/>
              <w:bottom w:val="nil"/>
              <w:right w:val="nil"/>
            </w:tcBorders>
            <w:shd w:val="clear" w:color="auto" w:fill="auto"/>
            <w:noWrap/>
            <w:hideMark/>
          </w:tcPr>
          <w:p w14:paraId="65939ECF" w14:textId="77777777" w:rsidR="0002316A" w:rsidRPr="007B3DED" w:rsidRDefault="0002316A" w:rsidP="005F3681">
            <w:pPr>
              <w:jc w:val="center"/>
              <w:rPr>
                <w:rFonts w:ascii="Arial" w:eastAsia="Times New Roman" w:hAnsi="Arial" w:cs="Arial"/>
                <w:color w:val="000000"/>
                <w:sz w:val="22"/>
                <w:szCs w:val="22"/>
                <w:lang w:val="en-GB"/>
              </w:rPr>
            </w:pPr>
          </w:p>
        </w:tc>
        <w:tc>
          <w:tcPr>
            <w:tcW w:w="913" w:type="dxa"/>
            <w:gridSpan w:val="2"/>
            <w:tcBorders>
              <w:top w:val="nil"/>
              <w:left w:val="nil"/>
              <w:bottom w:val="nil"/>
              <w:right w:val="nil"/>
            </w:tcBorders>
            <w:shd w:val="clear" w:color="auto" w:fill="auto"/>
            <w:noWrap/>
            <w:hideMark/>
          </w:tcPr>
          <w:p w14:paraId="6B40549F"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5</w:t>
            </w:r>
          </w:p>
        </w:tc>
        <w:tc>
          <w:tcPr>
            <w:tcW w:w="3954" w:type="dxa"/>
            <w:gridSpan w:val="2"/>
            <w:tcBorders>
              <w:top w:val="nil"/>
              <w:left w:val="nil"/>
              <w:bottom w:val="nil"/>
              <w:right w:val="nil"/>
            </w:tcBorders>
            <w:shd w:val="clear" w:color="auto" w:fill="auto"/>
            <w:hideMark/>
          </w:tcPr>
          <w:p w14:paraId="1DFB4768" w14:textId="77777777" w:rsidR="0002316A" w:rsidRPr="007B3DED" w:rsidRDefault="0002316A" w:rsidP="005F3681">
            <w:pP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medial orbital frontal cortex, lateral orbital frontal cortex, insula</w:t>
            </w:r>
          </w:p>
        </w:tc>
        <w:tc>
          <w:tcPr>
            <w:tcW w:w="708" w:type="dxa"/>
            <w:gridSpan w:val="2"/>
            <w:tcBorders>
              <w:top w:val="nil"/>
              <w:left w:val="nil"/>
              <w:bottom w:val="nil"/>
              <w:right w:val="nil"/>
            </w:tcBorders>
            <w:shd w:val="clear" w:color="auto" w:fill="auto"/>
            <w:noWrap/>
            <w:hideMark/>
          </w:tcPr>
          <w:p w14:paraId="4BEF2D22"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L</w:t>
            </w:r>
          </w:p>
        </w:tc>
        <w:tc>
          <w:tcPr>
            <w:tcW w:w="993" w:type="dxa"/>
            <w:gridSpan w:val="2"/>
            <w:tcBorders>
              <w:top w:val="nil"/>
              <w:left w:val="nil"/>
              <w:bottom w:val="nil"/>
              <w:right w:val="nil"/>
            </w:tcBorders>
            <w:shd w:val="clear" w:color="auto" w:fill="auto"/>
            <w:noWrap/>
            <w:hideMark/>
          </w:tcPr>
          <w:p w14:paraId="31A34EB7"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11</w:t>
            </w:r>
          </w:p>
        </w:tc>
        <w:tc>
          <w:tcPr>
            <w:tcW w:w="1417" w:type="dxa"/>
            <w:gridSpan w:val="2"/>
            <w:tcBorders>
              <w:top w:val="nil"/>
              <w:left w:val="nil"/>
              <w:bottom w:val="nil"/>
              <w:right w:val="nil"/>
            </w:tcBorders>
            <w:shd w:val="clear" w:color="auto" w:fill="auto"/>
            <w:noWrap/>
            <w:hideMark/>
          </w:tcPr>
          <w:p w14:paraId="610F8265"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5349</w:t>
            </w:r>
          </w:p>
        </w:tc>
        <w:tc>
          <w:tcPr>
            <w:tcW w:w="567" w:type="dxa"/>
            <w:tcBorders>
              <w:top w:val="nil"/>
              <w:left w:val="nil"/>
              <w:bottom w:val="nil"/>
              <w:right w:val="nil"/>
            </w:tcBorders>
            <w:shd w:val="clear" w:color="auto" w:fill="auto"/>
            <w:noWrap/>
            <w:hideMark/>
          </w:tcPr>
          <w:p w14:paraId="2B0A3436"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-17</w:t>
            </w:r>
          </w:p>
        </w:tc>
        <w:tc>
          <w:tcPr>
            <w:tcW w:w="567" w:type="dxa"/>
            <w:tcBorders>
              <w:top w:val="nil"/>
              <w:left w:val="nil"/>
              <w:bottom w:val="nil"/>
              <w:right w:val="nil"/>
            </w:tcBorders>
            <w:shd w:val="clear" w:color="auto" w:fill="auto"/>
            <w:noWrap/>
            <w:hideMark/>
          </w:tcPr>
          <w:p w14:paraId="4181B516"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17</w:t>
            </w:r>
          </w:p>
        </w:tc>
        <w:tc>
          <w:tcPr>
            <w:tcW w:w="567" w:type="dxa"/>
            <w:gridSpan w:val="2"/>
            <w:tcBorders>
              <w:top w:val="nil"/>
              <w:left w:val="nil"/>
              <w:bottom w:val="nil"/>
              <w:right w:val="nil"/>
            </w:tcBorders>
            <w:shd w:val="clear" w:color="auto" w:fill="auto"/>
            <w:noWrap/>
            <w:hideMark/>
          </w:tcPr>
          <w:p w14:paraId="280CF30C"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-18</w:t>
            </w:r>
          </w:p>
        </w:tc>
        <w:tc>
          <w:tcPr>
            <w:tcW w:w="851" w:type="dxa"/>
            <w:gridSpan w:val="2"/>
            <w:tcBorders>
              <w:top w:val="nil"/>
              <w:left w:val="nil"/>
              <w:bottom w:val="nil"/>
              <w:right w:val="nil"/>
            </w:tcBorders>
            <w:shd w:val="clear" w:color="auto" w:fill="auto"/>
            <w:noWrap/>
            <w:hideMark/>
          </w:tcPr>
          <w:p w14:paraId="13D4D5F9"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-4.27</w:t>
            </w:r>
          </w:p>
        </w:tc>
        <w:tc>
          <w:tcPr>
            <w:tcW w:w="1497" w:type="dxa"/>
            <w:gridSpan w:val="2"/>
            <w:tcBorders>
              <w:top w:val="nil"/>
              <w:left w:val="nil"/>
              <w:bottom w:val="nil"/>
              <w:right w:val="nil"/>
            </w:tcBorders>
            <w:shd w:val="clear" w:color="auto" w:fill="auto"/>
            <w:noWrap/>
            <w:hideMark/>
          </w:tcPr>
          <w:p w14:paraId="6721774A"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1.41 x 10</w:t>
            </w:r>
            <w:r w:rsidRPr="007B3DED">
              <w:rPr>
                <w:rFonts w:ascii="Arial" w:eastAsia="Times New Roman" w:hAnsi="Arial" w:cs="Arial"/>
                <w:color w:val="000000"/>
                <w:sz w:val="22"/>
                <w:szCs w:val="22"/>
                <w:vertAlign w:val="superscript"/>
                <w:lang w:val="en-GB"/>
              </w:rPr>
              <w:t>-2</w:t>
            </w:r>
          </w:p>
        </w:tc>
      </w:tr>
      <w:tr w:rsidR="0002316A" w:rsidRPr="007B3DED" w14:paraId="356DACCD" w14:textId="77777777" w:rsidTr="005F3681">
        <w:trPr>
          <w:gridAfter w:val="2"/>
          <w:wAfter w:w="1202" w:type="dxa"/>
          <w:trHeight w:val="280"/>
        </w:trPr>
        <w:tc>
          <w:tcPr>
            <w:tcW w:w="1244" w:type="dxa"/>
            <w:tcBorders>
              <w:top w:val="nil"/>
              <w:left w:val="nil"/>
              <w:bottom w:val="nil"/>
              <w:right w:val="nil"/>
            </w:tcBorders>
            <w:shd w:val="clear" w:color="auto" w:fill="auto"/>
            <w:noWrap/>
            <w:hideMark/>
          </w:tcPr>
          <w:p w14:paraId="794596BC" w14:textId="77777777" w:rsidR="0002316A" w:rsidRPr="007B3DED" w:rsidRDefault="0002316A" w:rsidP="005F3681">
            <w:pPr>
              <w:jc w:val="center"/>
              <w:rPr>
                <w:rFonts w:ascii="Arial" w:eastAsia="Times New Roman" w:hAnsi="Arial" w:cs="Arial"/>
                <w:color w:val="000000"/>
                <w:sz w:val="22"/>
                <w:szCs w:val="22"/>
                <w:lang w:val="en-GB"/>
              </w:rPr>
            </w:pPr>
          </w:p>
        </w:tc>
        <w:tc>
          <w:tcPr>
            <w:tcW w:w="913" w:type="dxa"/>
            <w:gridSpan w:val="2"/>
            <w:tcBorders>
              <w:top w:val="nil"/>
              <w:left w:val="nil"/>
              <w:bottom w:val="nil"/>
              <w:right w:val="nil"/>
            </w:tcBorders>
            <w:shd w:val="clear" w:color="auto" w:fill="auto"/>
            <w:noWrap/>
            <w:hideMark/>
          </w:tcPr>
          <w:p w14:paraId="7DB4ADF1"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6</w:t>
            </w:r>
          </w:p>
        </w:tc>
        <w:tc>
          <w:tcPr>
            <w:tcW w:w="3954" w:type="dxa"/>
            <w:gridSpan w:val="2"/>
            <w:tcBorders>
              <w:top w:val="nil"/>
              <w:left w:val="nil"/>
              <w:bottom w:val="nil"/>
              <w:right w:val="nil"/>
            </w:tcBorders>
            <w:shd w:val="clear" w:color="auto" w:fill="auto"/>
            <w:hideMark/>
          </w:tcPr>
          <w:p w14:paraId="1781FC4D" w14:textId="77777777" w:rsidR="0002316A" w:rsidRPr="007B3DED" w:rsidRDefault="0002316A" w:rsidP="005F3681">
            <w:pP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precuneus cortex, superior parietal cortex</w:t>
            </w:r>
          </w:p>
        </w:tc>
        <w:tc>
          <w:tcPr>
            <w:tcW w:w="708" w:type="dxa"/>
            <w:gridSpan w:val="2"/>
            <w:tcBorders>
              <w:top w:val="nil"/>
              <w:left w:val="nil"/>
              <w:bottom w:val="nil"/>
              <w:right w:val="nil"/>
            </w:tcBorders>
            <w:shd w:val="clear" w:color="auto" w:fill="auto"/>
            <w:noWrap/>
            <w:hideMark/>
          </w:tcPr>
          <w:p w14:paraId="70B8D24A"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L</w:t>
            </w:r>
          </w:p>
        </w:tc>
        <w:tc>
          <w:tcPr>
            <w:tcW w:w="993" w:type="dxa"/>
            <w:gridSpan w:val="2"/>
            <w:tcBorders>
              <w:top w:val="nil"/>
              <w:left w:val="nil"/>
              <w:bottom w:val="nil"/>
              <w:right w:val="nil"/>
            </w:tcBorders>
            <w:shd w:val="clear" w:color="auto" w:fill="auto"/>
            <w:noWrap/>
            <w:hideMark/>
          </w:tcPr>
          <w:p w14:paraId="7D68432F"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31</w:t>
            </w:r>
          </w:p>
        </w:tc>
        <w:tc>
          <w:tcPr>
            <w:tcW w:w="1417" w:type="dxa"/>
            <w:gridSpan w:val="2"/>
            <w:tcBorders>
              <w:top w:val="nil"/>
              <w:left w:val="nil"/>
              <w:bottom w:val="nil"/>
              <w:right w:val="nil"/>
            </w:tcBorders>
            <w:shd w:val="clear" w:color="auto" w:fill="auto"/>
            <w:noWrap/>
            <w:hideMark/>
          </w:tcPr>
          <w:p w14:paraId="23E66E44"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4709</w:t>
            </w:r>
          </w:p>
        </w:tc>
        <w:tc>
          <w:tcPr>
            <w:tcW w:w="567" w:type="dxa"/>
            <w:tcBorders>
              <w:top w:val="nil"/>
              <w:left w:val="nil"/>
              <w:bottom w:val="nil"/>
              <w:right w:val="nil"/>
            </w:tcBorders>
            <w:shd w:val="clear" w:color="auto" w:fill="auto"/>
            <w:noWrap/>
            <w:hideMark/>
          </w:tcPr>
          <w:p w14:paraId="5A20FAD9"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-6</w:t>
            </w:r>
          </w:p>
        </w:tc>
        <w:tc>
          <w:tcPr>
            <w:tcW w:w="567" w:type="dxa"/>
            <w:tcBorders>
              <w:top w:val="nil"/>
              <w:left w:val="nil"/>
              <w:bottom w:val="nil"/>
              <w:right w:val="nil"/>
            </w:tcBorders>
            <w:shd w:val="clear" w:color="auto" w:fill="auto"/>
            <w:noWrap/>
            <w:hideMark/>
          </w:tcPr>
          <w:p w14:paraId="3E442FFF"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-60</w:t>
            </w:r>
          </w:p>
        </w:tc>
        <w:tc>
          <w:tcPr>
            <w:tcW w:w="567" w:type="dxa"/>
            <w:gridSpan w:val="2"/>
            <w:tcBorders>
              <w:top w:val="nil"/>
              <w:left w:val="nil"/>
              <w:bottom w:val="nil"/>
              <w:right w:val="nil"/>
            </w:tcBorders>
            <w:shd w:val="clear" w:color="auto" w:fill="auto"/>
            <w:noWrap/>
            <w:hideMark/>
          </w:tcPr>
          <w:p w14:paraId="58F22952"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31</w:t>
            </w:r>
          </w:p>
        </w:tc>
        <w:tc>
          <w:tcPr>
            <w:tcW w:w="851" w:type="dxa"/>
            <w:gridSpan w:val="2"/>
            <w:tcBorders>
              <w:top w:val="nil"/>
              <w:left w:val="nil"/>
              <w:bottom w:val="nil"/>
              <w:right w:val="nil"/>
            </w:tcBorders>
            <w:shd w:val="clear" w:color="auto" w:fill="auto"/>
            <w:noWrap/>
            <w:hideMark/>
          </w:tcPr>
          <w:p w14:paraId="5D2806E7"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-4.19</w:t>
            </w:r>
          </w:p>
        </w:tc>
        <w:tc>
          <w:tcPr>
            <w:tcW w:w="1497" w:type="dxa"/>
            <w:gridSpan w:val="2"/>
            <w:tcBorders>
              <w:top w:val="nil"/>
              <w:left w:val="nil"/>
              <w:bottom w:val="nil"/>
              <w:right w:val="nil"/>
            </w:tcBorders>
            <w:shd w:val="clear" w:color="auto" w:fill="auto"/>
            <w:noWrap/>
            <w:hideMark/>
          </w:tcPr>
          <w:p w14:paraId="639DBD22" w14:textId="77777777" w:rsidR="0002316A" w:rsidRPr="007B3DED" w:rsidRDefault="0002316A" w:rsidP="005F3681">
            <w:pPr>
              <w:jc w:val="cente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1.52 x 10</w:t>
            </w:r>
            <w:r w:rsidRPr="007B3DED">
              <w:rPr>
                <w:rFonts w:ascii="Arial" w:eastAsia="Times New Roman" w:hAnsi="Arial" w:cs="Arial"/>
                <w:color w:val="000000"/>
                <w:sz w:val="22"/>
                <w:szCs w:val="22"/>
                <w:vertAlign w:val="superscript"/>
                <w:lang w:val="en-GB"/>
              </w:rPr>
              <w:t>-2</w:t>
            </w:r>
          </w:p>
        </w:tc>
      </w:tr>
      <w:tr w:rsidR="0002316A" w:rsidRPr="007B3DED" w14:paraId="6DAF9153" w14:textId="77777777" w:rsidTr="005F3681">
        <w:trPr>
          <w:gridAfter w:val="2"/>
          <w:wAfter w:w="1202" w:type="dxa"/>
          <w:trHeight w:val="260"/>
        </w:trPr>
        <w:tc>
          <w:tcPr>
            <w:tcW w:w="1244" w:type="dxa"/>
            <w:tcBorders>
              <w:top w:val="nil"/>
              <w:left w:val="nil"/>
              <w:bottom w:val="single" w:sz="4" w:space="0" w:color="auto"/>
              <w:right w:val="nil"/>
            </w:tcBorders>
            <w:shd w:val="clear" w:color="auto" w:fill="auto"/>
            <w:noWrap/>
            <w:vAlign w:val="bottom"/>
            <w:hideMark/>
          </w:tcPr>
          <w:p w14:paraId="4B8AFA15" w14:textId="77777777" w:rsidR="0002316A" w:rsidRPr="007B3DED" w:rsidRDefault="0002316A" w:rsidP="005F3681">
            <w:pP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 </w:t>
            </w:r>
          </w:p>
        </w:tc>
        <w:tc>
          <w:tcPr>
            <w:tcW w:w="913" w:type="dxa"/>
            <w:gridSpan w:val="2"/>
            <w:tcBorders>
              <w:top w:val="nil"/>
              <w:left w:val="nil"/>
              <w:bottom w:val="single" w:sz="4" w:space="0" w:color="auto"/>
              <w:right w:val="nil"/>
            </w:tcBorders>
            <w:shd w:val="clear" w:color="auto" w:fill="auto"/>
            <w:noWrap/>
            <w:vAlign w:val="bottom"/>
            <w:hideMark/>
          </w:tcPr>
          <w:p w14:paraId="2DA8C7A7" w14:textId="77777777" w:rsidR="0002316A" w:rsidRPr="007B3DED" w:rsidRDefault="0002316A" w:rsidP="005F3681">
            <w:pP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 </w:t>
            </w:r>
          </w:p>
        </w:tc>
        <w:tc>
          <w:tcPr>
            <w:tcW w:w="3954" w:type="dxa"/>
            <w:gridSpan w:val="2"/>
            <w:tcBorders>
              <w:top w:val="nil"/>
              <w:left w:val="nil"/>
              <w:bottom w:val="single" w:sz="4" w:space="0" w:color="auto"/>
              <w:right w:val="nil"/>
            </w:tcBorders>
            <w:shd w:val="clear" w:color="auto" w:fill="auto"/>
            <w:noWrap/>
            <w:vAlign w:val="bottom"/>
            <w:hideMark/>
          </w:tcPr>
          <w:p w14:paraId="3F002B35" w14:textId="77777777" w:rsidR="0002316A" w:rsidRPr="007B3DED" w:rsidRDefault="0002316A" w:rsidP="005F3681">
            <w:pP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 </w:t>
            </w:r>
          </w:p>
        </w:tc>
        <w:tc>
          <w:tcPr>
            <w:tcW w:w="708" w:type="dxa"/>
            <w:gridSpan w:val="2"/>
            <w:tcBorders>
              <w:top w:val="nil"/>
              <w:left w:val="nil"/>
              <w:bottom w:val="single" w:sz="4" w:space="0" w:color="auto"/>
              <w:right w:val="nil"/>
            </w:tcBorders>
            <w:shd w:val="clear" w:color="auto" w:fill="auto"/>
            <w:noWrap/>
            <w:vAlign w:val="bottom"/>
            <w:hideMark/>
          </w:tcPr>
          <w:p w14:paraId="04866C6B" w14:textId="77777777" w:rsidR="0002316A" w:rsidRPr="007B3DED" w:rsidRDefault="0002316A" w:rsidP="005F3681">
            <w:pP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 </w:t>
            </w:r>
          </w:p>
        </w:tc>
        <w:tc>
          <w:tcPr>
            <w:tcW w:w="993" w:type="dxa"/>
            <w:gridSpan w:val="2"/>
            <w:tcBorders>
              <w:top w:val="nil"/>
              <w:left w:val="nil"/>
              <w:bottom w:val="single" w:sz="4" w:space="0" w:color="auto"/>
              <w:right w:val="nil"/>
            </w:tcBorders>
            <w:shd w:val="clear" w:color="auto" w:fill="auto"/>
            <w:noWrap/>
            <w:vAlign w:val="bottom"/>
            <w:hideMark/>
          </w:tcPr>
          <w:p w14:paraId="33FA0862" w14:textId="77777777" w:rsidR="0002316A" w:rsidRPr="007B3DED" w:rsidRDefault="0002316A" w:rsidP="005F3681">
            <w:pP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 </w:t>
            </w:r>
          </w:p>
        </w:tc>
        <w:tc>
          <w:tcPr>
            <w:tcW w:w="1417" w:type="dxa"/>
            <w:gridSpan w:val="2"/>
            <w:tcBorders>
              <w:top w:val="nil"/>
              <w:left w:val="nil"/>
              <w:bottom w:val="single" w:sz="4" w:space="0" w:color="auto"/>
              <w:right w:val="nil"/>
            </w:tcBorders>
            <w:shd w:val="clear" w:color="auto" w:fill="auto"/>
            <w:noWrap/>
            <w:vAlign w:val="bottom"/>
            <w:hideMark/>
          </w:tcPr>
          <w:p w14:paraId="1A206455" w14:textId="77777777" w:rsidR="0002316A" w:rsidRPr="007B3DED" w:rsidRDefault="0002316A" w:rsidP="005F3681">
            <w:pP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 </w:t>
            </w:r>
          </w:p>
        </w:tc>
        <w:tc>
          <w:tcPr>
            <w:tcW w:w="567" w:type="dxa"/>
            <w:tcBorders>
              <w:top w:val="nil"/>
              <w:left w:val="nil"/>
              <w:bottom w:val="single" w:sz="4" w:space="0" w:color="auto"/>
              <w:right w:val="nil"/>
            </w:tcBorders>
            <w:shd w:val="clear" w:color="auto" w:fill="auto"/>
            <w:noWrap/>
            <w:vAlign w:val="bottom"/>
            <w:hideMark/>
          </w:tcPr>
          <w:p w14:paraId="67B5C45A" w14:textId="77777777" w:rsidR="0002316A" w:rsidRPr="007B3DED" w:rsidRDefault="0002316A" w:rsidP="005F3681">
            <w:pP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 </w:t>
            </w:r>
          </w:p>
        </w:tc>
        <w:tc>
          <w:tcPr>
            <w:tcW w:w="567" w:type="dxa"/>
            <w:tcBorders>
              <w:top w:val="nil"/>
              <w:left w:val="nil"/>
              <w:bottom w:val="single" w:sz="4" w:space="0" w:color="auto"/>
              <w:right w:val="nil"/>
            </w:tcBorders>
            <w:shd w:val="clear" w:color="auto" w:fill="auto"/>
            <w:noWrap/>
            <w:vAlign w:val="bottom"/>
            <w:hideMark/>
          </w:tcPr>
          <w:p w14:paraId="433AA8BB" w14:textId="77777777" w:rsidR="0002316A" w:rsidRPr="007B3DED" w:rsidRDefault="0002316A" w:rsidP="005F3681">
            <w:pP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 </w:t>
            </w:r>
          </w:p>
        </w:tc>
        <w:tc>
          <w:tcPr>
            <w:tcW w:w="567" w:type="dxa"/>
            <w:gridSpan w:val="2"/>
            <w:tcBorders>
              <w:top w:val="nil"/>
              <w:left w:val="nil"/>
              <w:bottom w:val="single" w:sz="4" w:space="0" w:color="auto"/>
              <w:right w:val="nil"/>
            </w:tcBorders>
            <w:shd w:val="clear" w:color="auto" w:fill="auto"/>
            <w:noWrap/>
            <w:vAlign w:val="bottom"/>
            <w:hideMark/>
          </w:tcPr>
          <w:p w14:paraId="3C67E753" w14:textId="77777777" w:rsidR="0002316A" w:rsidRPr="007B3DED" w:rsidRDefault="0002316A" w:rsidP="005F3681">
            <w:pP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 </w:t>
            </w:r>
          </w:p>
        </w:tc>
        <w:tc>
          <w:tcPr>
            <w:tcW w:w="851" w:type="dxa"/>
            <w:gridSpan w:val="2"/>
            <w:tcBorders>
              <w:top w:val="nil"/>
              <w:left w:val="nil"/>
              <w:bottom w:val="single" w:sz="4" w:space="0" w:color="auto"/>
              <w:right w:val="nil"/>
            </w:tcBorders>
            <w:shd w:val="clear" w:color="auto" w:fill="auto"/>
            <w:noWrap/>
            <w:vAlign w:val="bottom"/>
            <w:hideMark/>
          </w:tcPr>
          <w:p w14:paraId="79222960" w14:textId="77777777" w:rsidR="0002316A" w:rsidRPr="007B3DED" w:rsidRDefault="0002316A" w:rsidP="005F3681">
            <w:pP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 </w:t>
            </w:r>
          </w:p>
        </w:tc>
        <w:tc>
          <w:tcPr>
            <w:tcW w:w="1497" w:type="dxa"/>
            <w:gridSpan w:val="2"/>
            <w:tcBorders>
              <w:top w:val="nil"/>
              <w:left w:val="nil"/>
              <w:bottom w:val="single" w:sz="4" w:space="0" w:color="auto"/>
              <w:right w:val="nil"/>
            </w:tcBorders>
            <w:shd w:val="clear" w:color="auto" w:fill="auto"/>
            <w:noWrap/>
            <w:vAlign w:val="bottom"/>
            <w:hideMark/>
          </w:tcPr>
          <w:p w14:paraId="2E9A39FE" w14:textId="77777777" w:rsidR="0002316A" w:rsidRPr="007B3DED" w:rsidRDefault="0002316A" w:rsidP="005F3681">
            <w:pPr>
              <w:rPr>
                <w:rFonts w:ascii="Arial" w:eastAsia="Times New Roman" w:hAnsi="Arial" w:cs="Arial"/>
                <w:color w:val="000000"/>
                <w:sz w:val="22"/>
                <w:szCs w:val="22"/>
                <w:lang w:val="en-GB"/>
              </w:rPr>
            </w:pPr>
            <w:r w:rsidRPr="007B3DED">
              <w:rPr>
                <w:rFonts w:ascii="Arial" w:eastAsia="Times New Roman" w:hAnsi="Arial" w:cs="Arial"/>
                <w:color w:val="000000"/>
                <w:sz w:val="22"/>
                <w:szCs w:val="22"/>
                <w:lang w:val="en-GB"/>
              </w:rPr>
              <w:t> </w:t>
            </w:r>
          </w:p>
        </w:tc>
      </w:tr>
      <w:tr w:rsidR="0002316A" w:rsidRPr="007B3DED" w14:paraId="2237C7EA" w14:textId="77777777" w:rsidTr="005F3681">
        <w:trPr>
          <w:gridAfter w:val="2"/>
          <w:wAfter w:w="1202" w:type="dxa"/>
          <w:trHeight w:val="260"/>
        </w:trPr>
        <w:tc>
          <w:tcPr>
            <w:tcW w:w="13278" w:type="dxa"/>
            <w:gridSpan w:val="19"/>
            <w:tcBorders>
              <w:top w:val="single" w:sz="4" w:space="0" w:color="auto"/>
              <w:left w:val="nil"/>
              <w:bottom w:val="nil"/>
              <w:right w:val="nil"/>
            </w:tcBorders>
            <w:shd w:val="clear" w:color="auto" w:fill="auto"/>
            <w:hideMark/>
          </w:tcPr>
          <w:p w14:paraId="03670502" w14:textId="77777777" w:rsidR="0002316A" w:rsidRPr="007B3DED" w:rsidRDefault="0002316A" w:rsidP="005F3681">
            <w:pPr>
              <w:rPr>
                <w:rFonts w:ascii="Arial" w:eastAsia="Times New Roman" w:hAnsi="Arial" w:cs="Arial"/>
                <w:color w:val="000000"/>
                <w:sz w:val="22"/>
                <w:szCs w:val="22"/>
                <w:lang w:val="en-GB"/>
              </w:rPr>
            </w:pPr>
            <w:r w:rsidRPr="007B3DED">
              <w:rPr>
                <w:rFonts w:ascii="Arial" w:eastAsia="Times New Roman" w:hAnsi="Arial" w:cs="Arial"/>
                <w:i/>
                <w:iCs/>
                <w:color w:val="000000"/>
                <w:sz w:val="22"/>
                <w:szCs w:val="22"/>
                <w:lang w:val="en-GB"/>
              </w:rPr>
              <w:t>Note.</w:t>
            </w:r>
            <w:r w:rsidRPr="007B3DED">
              <w:rPr>
                <w:rFonts w:ascii="Arial" w:eastAsia="Times New Roman" w:hAnsi="Arial" w:cs="Arial"/>
                <w:color w:val="000000"/>
                <w:sz w:val="22"/>
                <w:szCs w:val="22"/>
                <w:lang w:val="en-GB"/>
              </w:rPr>
              <w:t xml:space="preserve"> Abbreviations: BA = Brodman Area; t</w:t>
            </w:r>
            <w:r w:rsidRPr="007B3DED">
              <w:rPr>
                <w:rFonts w:ascii="Arial" w:eastAsia="Times New Roman" w:hAnsi="Arial" w:cs="Arial"/>
                <w:color w:val="000000"/>
                <w:sz w:val="22"/>
                <w:szCs w:val="22"/>
                <w:vertAlign w:val="subscript"/>
                <w:lang w:val="en-GB"/>
              </w:rPr>
              <w:t xml:space="preserve">max </w:t>
            </w:r>
            <w:r w:rsidRPr="007B3DED">
              <w:rPr>
                <w:rFonts w:ascii="Arial" w:eastAsia="Times New Roman" w:hAnsi="Arial" w:cs="Arial"/>
                <w:color w:val="000000"/>
                <w:sz w:val="22"/>
                <w:szCs w:val="22"/>
                <w:lang w:val="en-GB"/>
              </w:rPr>
              <w:t>= maximum absolute t value; x,y,z = Talairach coordinates at t</w:t>
            </w:r>
            <w:r w:rsidRPr="007B3DED">
              <w:rPr>
                <w:rFonts w:ascii="Arial" w:eastAsia="Times New Roman" w:hAnsi="Arial" w:cs="Arial"/>
                <w:color w:val="000000"/>
                <w:sz w:val="22"/>
                <w:szCs w:val="22"/>
                <w:vertAlign w:val="subscript"/>
                <w:lang w:val="en-GB"/>
              </w:rPr>
              <w:t>max</w:t>
            </w:r>
            <w:r w:rsidRPr="007B3DED">
              <w:rPr>
                <w:rFonts w:ascii="Arial" w:eastAsia="Times New Roman" w:hAnsi="Arial" w:cs="Arial"/>
                <w:color w:val="000000"/>
                <w:sz w:val="22"/>
                <w:szCs w:val="22"/>
                <w:lang w:val="en-GB"/>
              </w:rPr>
              <w:t>; p</w:t>
            </w:r>
            <w:r w:rsidRPr="007B3DED">
              <w:rPr>
                <w:rFonts w:ascii="Arial" w:eastAsia="Times New Roman" w:hAnsi="Arial" w:cs="Arial"/>
                <w:color w:val="000000"/>
                <w:sz w:val="22"/>
                <w:szCs w:val="22"/>
                <w:vertAlign w:val="subscript"/>
                <w:lang w:val="en-GB"/>
              </w:rPr>
              <w:t>cluster</w:t>
            </w:r>
            <w:r w:rsidRPr="007B3DED">
              <w:rPr>
                <w:rFonts w:ascii="Arial" w:eastAsia="Times New Roman" w:hAnsi="Arial" w:cs="Arial"/>
                <w:color w:val="000000"/>
                <w:sz w:val="22"/>
                <w:szCs w:val="22"/>
                <w:lang w:val="en-GB"/>
              </w:rPr>
              <w:t xml:space="preserve"> = cluster probability; DID = Dissociative Identity Disorder; R = right; L = left</w:t>
            </w:r>
          </w:p>
        </w:tc>
      </w:tr>
      <w:tr w:rsidR="0002316A" w:rsidRPr="00C66BD5" w14:paraId="18CBE843" w14:textId="77777777" w:rsidTr="005F3681">
        <w:trPr>
          <w:gridAfter w:val="2"/>
          <w:wAfter w:w="1202" w:type="dxa"/>
          <w:trHeight w:val="260"/>
        </w:trPr>
        <w:tc>
          <w:tcPr>
            <w:tcW w:w="13278" w:type="dxa"/>
            <w:gridSpan w:val="19"/>
            <w:tcBorders>
              <w:top w:val="single" w:sz="4" w:space="0" w:color="auto"/>
              <w:left w:val="nil"/>
              <w:bottom w:val="nil"/>
              <w:right w:val="nil"/>
            </w:tcBorders>
            <w:shd w:val="clear" w:color="auto" w:fill="auto"/>
            <w:hideMark/>
          </w:tcPr>
          <w:p w14:paraId="50FD1999" w14:textId="4E907BDD" w:rsidR="0002316A" w:rsidRPr="00C66BD5" w:rsidRDefault="0002316A" w:rsidP="005F3681">
            <w:pPr>
              <w:rPr>
                <w:rFonts w:ascii="Arial" w:eastAsia="Times New Roman" w:hAnsi="Arial" w:cs="Arial"/>
                <w:i/>
                <w:iCs/>
                <w:color w:val="000000"/>
                <w:sz w:val="22"/>
                <w:szCs w:val="22"/>
                <w:lang w:val="en-GB"/>
              </w:rPr>
            </w:pPr>
            <w:r w:rsidRPr="00DB5CE3">
              <w:rPr>
                <w:rFonts w:ascii="Arial" w:eastAsia="Times New Roman" w:hAnsi="Arial" w:cs="Arial"/>
                <w:b/>
                <w:i/>
                <w:iCs/>
                <w:color w:val="000000"/>
                <w:sz w:val="22"/>
                <w:szCs w:val="22"/>
                <w:lang w:val="en-GB"/>
              </w:rPr>
              <w:lastRenderedPageBreak/>
              <w:t xml:space="preserve">Supplementary Table </w:t>
            </w:r>
            <w:r w:rsidR="00DB5CE3">
              <w:rPr>
                <w:rFonts w:ascii="Arial" w:eastAsia="Times New Roman" w:hAnsi="Arial" w:cs="Arial"/>
                <w:b/>
                <w:i/>
                <w:iCs/>
                <w:color w:val="000000"/>
                <w:sz w:val="22"/>
                <w:szCs w:val="22"/>
                <w:lang w:val="en-GB"/>
              </w:rPr>
              <w:t>2</w:t>
            </w:r>
            <w:r w:rsidRPr="00C66BD5">
              <w:rPr>
                <w:rFonts w:ascii="Arial" w:eastAsia="Times New Roman" w:hAnsi="Arial" w:cs="Arial"/>
                <w:i/>
                <w:iCs/>
                <w:color w:val="000000"/>
                <w:sz w:val="22"/>
                <w:szCs w:val="22"/>
                <w:lang w:val="en-GB"/>
              </w:rPr>
              <w:t xml:space="preserve">: Clusters with significant correlations between measures of SA and CV and </w:t>
            </w:r>
            <w:r w:rsidRPr="007B3DED">
              <w:rPr>
                <w:rFonts w:ascii="Arial" w:eastAsia="Times New Roman" w:hAnsi="Arial" w:cs="Arial"/>
                <w:i/>
                <w:sz w:val="22"/>
                <w:szCs w:val="22"/>
              </w:rPr>
              <w:t>total trauma composite score for the developmental period</w:t>
            </w:r>
            <w:r w:rsidRPr="007B3DED">
              <w:rPr>
                <w:rFonts w:ascii="Arial" w:eastAsia="Times New Roman" w:hAnsi="Arial" w:cs="Arial"/>
                <w:i/>
                <w:iCs/>
                <w:color w:val="000000"/>
                <w:sz w:val="22"/>
                <w:szCs w:val="22"/>
                <w:lang w:val="en-GB"/>
              </w:rPr>
              <w:t xml:space="preserve"> </w:t>
            </w:r>
            <w:r w:rsidRPr="00C66BD5">
              <w:rPr>
                <w:rFonts w:ascii="Arial" w:eastAsia="Times New Roman" w:hAnsi="Arial" w:cs="Arial"/>
                <w:i/>
                <w:iCs/>
                <w:color w:val="000000"/>
                <w:sz w:val="22"/>
                <w:szCs w:val="22"/>
                <w:lang w:val="en-GB"/>
              </w:rPr>
              <w:t>0-3 years of age</w:t>
            </w:r>
            <w:r w:rsidRPr="007B3DED">
              <w:rPr>
                <w:rFonts w:ascii="Arial" w:eastAsia="Times New Roman" w:hAnsi="Arial" w:cs="Arial"/>
                <w:i/>
                <w:iCs/>
                <w:color w:val="000000"/>
                <w:sz w:val="22"/>
                <w:szCs w:val="22"/>
                <w:lang w:val="en-GB"/>
              </w:rPr>
              <w:t>.</w:t>
            </w:r>
          </w:p>
        </w:tc>
      </w:tr>
      <w:tr w:rsidR="0002316A" w:rsidRPr="00C66BD5" w14:paraId="4AE8383A" w14:textId="77777777" w:rsidTr="005F3681">
        <w:trPr>
          <w:trHeight w:val="300"/>
        </w:trPr>
        <w:tc>
          <w:tcPr>
            <w:tcW w:w="1829" w:type="dxa"/>
            <w:gridSpan w:val="2"/>
            <w:tcBorders>
              <w:top w:val="nil"/>
              <w:left w:val="nil"/>
              <w:bottom w:val="nil"/>
              <w:right w:val="nil"/>
            </w:tcBorders>
            <w:shd w:val="clear" w:color="auto" w:fill="auto"/>
            <w:noWrap/>
            <w:vAlign w:val="bottom"/>
            <w:hideMark/>
          </w:tcPr>
          <w:p w14:paraId="619A1879" w14:textId="77777777" w:rsidR="0002316A" w:rsidRPr="00C66BD5" w:rsidRDefault="0002316A" w:rsidP="005F3681">
            <w:pPr>
              <w:rPr>
                <w:rFonts w:ascii="Arial" w:eastAsia="Times New Roman" w:hAnsi="Arial" w:cs="Arial"/>
                <w:color w:val="000000"/>
                <w:sz w:val="22"/>
                <w:szCs w:val="22"/>
                <w:lang w:val="en-GB"/>
              </w:rPr>
            </w:pPr>
          </w:p>
        </w:tc>
        <w:tc>
          <w:tcPr>
            <w:tcW w:w="1256" w:type="dxa"/>
            <w:gridSpan w:val="2"/>
            <w:tcBorders>
              <w:top w:val="nil"/>
              <w:left w:val="nil"/>
              <w:bottom w:val="nil"/>
              <w:right w:val="nil"/>
            </w:tcBorders>
            <w:shd w:val="clear" w:color="auto" w:fill="auto"/>
            <w:noWrap/>
            <w:vAlign w:val="bottom"/>
            <w:hideMark/>
          </w:tcPr>
          <w:p w14:paraId="6FA9B465"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 </w:t>
            </w:r>
          </w:p>
        </w:tc>
        <w:tc>
          <w:tcPr>
            <w:tcW w:w="3376" w:type="dxa"/>
            <w:gridSpan w:val="2"/>
            <w:tcBorders>
              <w:top w:val="nil"/>
              <w:left w:val="nil"/>
              <w:bottom w:val="nil"/>
              <w:right w:val="nil"/>
            </w:tcBorders>
            <w:shd w:val="clear" w:color="auto" w:fill="auto"/>
            <w:noWrap/>
            <w:vAlign w:val="bottom"/>
            <w:hideMark/>
          </w:tcPr>
          <w:p w14:paraId="5C7A69BF"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 </w:t>
            </w:r>
          </w:p>
        </w:tc>
        <w:tc>
          <w:tcPr>
            <w:tcW w:w="815" w:type="dxa"/>
            <w:gridSpan w:val="2"/>
            <w:tcBorders>
              <w:top w:val="nil"/>
              <w:left w:val="nil"/>
              <w:bottom w:val="nil"/>
              <w:right w:val="nil"/>
            </w:tcBorders>
            <w:shd w:val="clear" w:color="auto" w:fill="auto"/>
            <w:noWrap/>
            <w:vAlign w:val="bottom"/>
            <w:hideMark/>
          </w:tcPr>
          <w:p w14:paraId="5F37A352"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 </w:t>
            </w:r>
          </w:p>
        </w:tc>
        <w:tc>
          <w:tcPr>
            <w:tcW w:w="1377" w:type="dxa"/>
            <w:gridSpan w:val="2"/>
            <w:tcBorders>
              <w:top w:val="nil"/>
              <w:left w:val="nil"/>
              <w:bottom w:val="nil"/>
              <w:right w:val="nil"/>
            </w:tcBorders>
            <w:shd w:val="clear" w:color="auto" w:fill="auto"/>
            <w:noWrap/>
            <w:vAlign w:val="bottom"/>
            <w:hideMark/>
          </w:tcPr>
          <w:p w14:paraId="74815FF2" w14:textId="77777777" w:rsidR="0002316A" w:rsidRPr="00681E8F" w:rsidRDefault="0002316A" w:rsidP="005F3681">
            <w:pPr>
              <w:jc w:val="center"/>
              <w:rPr>
                <w:rFonts w:ascii="Arial" w:eastAsia="Times New Roman" w:hAnsi="Arial" w:cs="Arial"/>
                <w:color w:val="000000"/>
                <w:sz w:val="22"/>
                <w:szCs w:val="22"/>
                <w:lang w:val="en-GB"/>
              </w:rPr>
            </w:pPr>
          </w:p>
        </w:tc>
        <w:tc>
          <w:tcPr>
            <w:tcW w:w="1956" w:type="dxa"/>
            <w:gridSpan w:val="4"/>
            <w:tcBorders>
              <w:top w:val="nil"/>
              <w:left w:val="nil"/>
              <w:bottom w:val="nil"/>
              <w:right w:val="nil"/>
            </w:tcBorders>
            <w:shd w:val="clear" w:color="auto" w:fill="auto"/>
            <w:noWrap/>
            <w:vAlign w:val="bottom"/>
            <w:hideMark/>
          </w:tcPr>
          <w:p w14:paraId="224ABAFB"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 </w:t>
            </w:r>
          </w:p>
        </w:tc>
        <w:tc>
          <w:tcPr>
            <w:tcW w:w="2745" w:type="dxa"/>
            <w:gridSpan w:val="6"/>
            <w:tcBorders>
              <w:top w:val="single" w:sz="4" w:space="0" w:color="auto"/>
              <w:left w:val="nil"/>
              <w:bottom w:val="single" w:sz="4" w:space="0" w:color="auto"/>
              <w:right w:val="nil"/>
            </w:tcBorders>
            <w:shd w:val="clear" w:color="auto" w:fill="auto"/>
            <w:noWrap/>
            <w:vAlign w:val="bottom"/>
            <w:hideMark/>
          </w:tcPr>
          <w:p w14:paraId="27F3F099"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Talairach</w:t>
            </w:r>
          </w:p>
        </w:tc>
        <w:tc>
          <w:tcPr>
            <w:tcW w:w="1126" w:type="dxa"/>
            <w:tcBorders>
              <w:top w:val="nil"/>
              <w:left w:val="nil"/>
              <w:bottom w:val="single" w:sz="4" w:space="0" w:color="auto"/>
              <w:right w:val="nil"/>
            </w:tcBorders>
            <w:shd w:val="clear" w:color="auto" w:fill="auto"/>
            <w:noWrap/>
            <w:vAlign w:val="bottom"/>
            <w:hideMark/>
          </w:tcPr>
          <w:p w14:paraId="5461E703"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 </w:t>
            </w:r>
          </w:p>
        </w:tc>
      </w:tr>
      <w:tr w:rsidR="0002316A" w:rsidRPr="00C66BD5" w14:paraId="36A4F805" w14:textId="77777777" w:rsidTr="005F3681">
        <w:trPr>
          <w:trHeight w:val="300"/>
        </w:trPr>
        <w:tc>
          <w:tcPr>
            <w:tcW w:w="1829" w:type="dxa"/>
            <w:gridSpan w:val="2"/>
            <w:tcBorders>
              <w:top w:val="nil"/>
              <w:left w:val="nil"/>
              <w:bottom w:val="single" w:sz="4" w:space="0" w:color="auto"/>
              <w:right w:val="nil"/>
            </w:tcBorders>
            <w:shd w:val="clear" w:color="auto" w:fill="auto"/>
            <w:noWrap/>
            <w:vAlign w:val="bottom"/>
            <w:hideMark/>
          </w:tcPr>
          <w:p w14:paraId="49C1F69D"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Parameter</w:t>
            </w:r>
          </w:p>
        </w:tc>
        <w:tc>
          <w:tcPr>
            <w:tcW w:w="1256" w:type="dxa"/>
            <w:gridSpan w:val="2"/>
            <w:tcBorders>
              <w:top w:val="nil"/>
              <w:left w:val="nil"/>
              <w:bottom w:val="single" w:sz="4" w:space="0" w:color="auto"/>
              <w:right w:val="nil"/>
            </w:tcBorders>
            <w:shd w:val="clear" w:color="auto" w:fill="auto"/>
            <w:noWrap/>
            <w:vAlign w:val="bottom"/>
            <w:hideMark/>
          </w:tcPr>
          <w:p w14:paraId="311ED44E"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Cluster</w:t>
            </w:r>
          </w:p>
        </w:tc>
        <w:tc>
          <w:tcPr>
            <w:tcW w:w="3376" w:type="dxa"/>
            <w:gridSpan w:val="2"/>
            <w:tcBorders>
              <w:top w:val="nil"/>
              <w:left w:val="nil"/>
              <w:bottom w:val="single" w:sz="4" w:space="0" w:color="auto"/>
              <w:right w:val="nil"/>
            </w:tcBorders>
            <w:shd w:val="clear" w:color="auto" w:fill="auto"/>
            <w:noWrap/>
            <w:vAlign w:val="bottom"/>
            <w:hideMark/>
          </w:tcPr>
          <w:p w14:paraId="06C38410"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Regional Labels</w:t>
            </w:r>
          </w:p>
        </w:tc>
        <w:tc>
          <w:tcPr>
            <w:tcW w:w="815" w:type="dxa"/>
            <w:gridSpan w:val="2"/>
            <w:tcBorders>
              <w:top w:val="nil"/>
              <w:left w:val="nil"/>
              <w:bottom w:val="single" w:sz="4" w:space="0" w:color="auto"/>
              <w:right w:val="nil"/>
            </w:tcBorders>
            <w:shd w:val="clear" w:color="auto" w:fill="auto"/>
            <w:noWrap/>
            <w:vAlign w:val="bottom"/>
            <w:hideMark/>
          </w:tcPr>
          <w:p w14:paraId="15AE177B"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Side</w:t>
            </w:r>
          </w:p>
        </w:tc>
        <w:tc>
          <w:tcPr>
            <w:tcW w:w="1377" w:type="dxa"/>
            <w:gridSpan w:val="2"/>
            <w:tcBorders>
              <w:top w:val="nil"/>
              <w:left w:val="nil"/>
              <w:bottom w:val="single" w:sz="4" w:space="0" w:color="auto"/>
              <w:right w:val="nil"/>
            </w:tcBorders>
            <w:shd w:val="clear" w:color="auto" w:fill="auto"/>
            <w:noWrap/>
            <w:vAlign w:val="bottom"/>
            <w:hideMark/>
          </w:tcPr>
          <w:p w14:paraId="52C78FF7"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BA(t</w:t>
            </w:r>
            <w:r w:rsidRPr="00C66BD5">
              <w:rPr>
                <w:rFonts w:ascii="Arial" w:eastAsia="Times New Roman" w:hAnsi="Arial" w:cs="Arial"/>
                <w:color w:val="000000"/>
                <w:sz w:val="22"/>
                <w:szCs w:val="22"/>
                <w:vertAlign w:val="subscript"/>
                <w:lang w:val="en-GB"/>
              </w:rPr>
              <w:t>max</w:t>
            </w:r>
            <w:r w:rsidRPr="00C66BD5">
              <w:rPr>
                <w:rFonts w:ascii="Arial" w:eastAsia="Times New Roman" w:hAnsi="Arial" w:cs="Arial"/>
                <w:color w:val="000000"/>
                <w:sz w:val="22"/>
                <w:szCs w:val="22"/>
                <w:lang w:val="en-GB"/>
              </w:rPr>
              <w:t>)</w:t>
            </w:r>
          </w:p>
        </w:tc>
        <w:tc>
          <w:tcPr>
            <w:tcW w:w="1956" w:type="dxa"/>
            <w:gridSpan w:val="4"/>
            <w:tcBorders>
              <w:top w:val="nil"/>
              <w:left w:val="nil"/>
              <w:bottom w:val="single" w:sz="4" w:space="0" w:color="auto"/>
              <w:right w:val="nil"/>
            </w:tcBorders>
            <w:shd w:val="clear" w:color="auto" w:fill="auto"/>
            <w:noWrap/>
            <w:vAlign w:val="bottom"/>
            <w:hideMark/>
          </w:tcPr>
          <w:p w14:paraId="4CEADF1B"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No vertices</w:t>
            </w:r>
          </w:p>
        </w:tc>
        <w:tc>
          <w:tcPr>
            <w:tcW w:w="915" w:type="dxa"/>
            <w:gridSpan w:val="2"/>
            <w:tcBorders>
              <w:top w:val="nil"/>
              <w:left w:val="nil"/>
              <w:bottom w:val="single" w:sz="4" w:space="0" w:color="auto"/>
              <w:right w:val="nil"/>
            </w:tcBorders>
            <w:shd w:val="clear" w:color="auto" w:fill="auto"/>
            <w:noWrap/>
            <w:vAlign w:val="bottom"/>
            <w:hideMark/>
          </w:tcPr>
          <w:p w14:paraId="697DE99F"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x</w:t>
            </w:r>
          </w:p>
        </w:tc>
        <w:tc>
          <w:tcPr>
            <w:tcW w:w="915" w:type="dxa"/>
            <w:gridSpan w:val="2"/>
            <w:tcBorders>
              <w:top w:val="nil"/>
              <w:left w:val="nil"/>
              <w:bottom w:val="single" w:sz="4" w:space="0" w:color="auto"/>
              <w:right w:val="nil"/>
            </w:tcBorders>
            <w:shd w:val="clear" w:color="auto" w:fill="auto"/>
            <w:noWrap/>
            <w:vAlign w:val="bottom"/>
            <w:hideMark/>
          </w:tcPr>
          <w:p w14:paraId="1E78584C"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y</w:t>
            </w:r>
          </w:p>
        </w:tc>
        <w:tc>
          <w:tcPr>
            <w:tcW w:w="915" w:type="dxa"/>
            <w:gridSpan w:val="2"/>
            <w:tcBorders>
              <w:top w:val="nil"/>
              <w:left w:val="nil"/>
              <w:bottom w:val="single" w:sz="4" w:space="0" w:color="auto"/>
              <w:right w:val="nil"/>
            </w:tcBorders>
            <w:shd w:val="clear" w:color="auto" w:fill="auto"/>
            <w:noWrap/>
            <w:vAlign w:val="bottom"/>
            <w:hideMark/>
          </w:tcPr>
          <w:p w14:paraId="09E025CB"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z</w:t>
            </w:r>
          </w:p>
        </w:tc>
        <w:tc>
          <w:tcPr>
            <w:tcW w:w="1126" w:type="dxa"/>
            <w:tcBorders>
              <w:top w:val="nil"/>
              <w:left w:val="nil"/>
              <w:bottom w:val="single" w:sz="4" w:space="0" w:color="auto"/>
              <w:right w:val="nil"/>
            </w:tcBorders>
            <w:shd w:val="clear" w:color="auto" w:fill="auto"/>
            <w:noWrap/>
            <w:vAlign w:val="bottom"/>
            <w:hideMark/>
          </w:tcPr>
          <w:p w14:paraId="7716897A"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t</w:t>
            </w:r>
            <w:r w:rsidRPr="00C66BD5">
              <w:rPr>
                <w:rFonts w:ascii="Arial" w:eastAsia="Times New Roman" w:hAnsi="Arial" w:cs="Arial"/>
                <w:color w:val="000000"/>
                <w:sz w:val="22"/>
                <w:szCs w:val="22"/>
                <w:vertAlign w:val="subscript"/>
                <w:lang w:val="en-GB"/>
              </w:rPr>
              <w:t>max</w:t>
            </w:r>
          </w:p>
        </w:tc>
      </w:tr>
      <w:tr w:rsidR="0002316A" w:rsidRPr="00C66BD5" w14:paraId="374A8B76" w14:textId="77777777" w:rsidTr="005F3681">
        <w:trPr>
          <w:trHeight w:val="300"/>
        </w:trPr>
        <w:tc>
          <w:tcPr>
            <w:tcW w:w="1829" w:type="dxa"/>
            <w:gridSpan w:val="2"/>
            <w:tcBorders>
              <w:top w:val="nil"/>
              <w:left w:val="nil"/>
              <w:bottom w:val="nil"/>
              <w:right w:val="nil"/>
            </w:tcBorders>
            <w:shd w:val="clear" w:color="auto" w:fill="auto"/>
            <w:noWrap/>
            <w:vAlign w:val="bottom"/>
            <w:hideMark/>
          </w:tcPr>
          <w:p w14:paraId="71CBA477" w14:textId="77777777" w:rsidR="0002316A" w:rsidRPr="00C66BD5" w:rsidRDefault="0002316A" w:rsidP="005F3681">
            <w:pPr>
              <w:rPr>
                <w:rFonts w:ascii="Arial" w:eastAsia="Times New Roman" w:hAnsi="Arial" w:cs="Arial"/>
                <w:color w:val="000000"/>
                <w:sz w:val="22"/>
                <w:szCs w:val="22"/>
                <w:lang w:val="en-GB"/>
              </w:rPr>
            </w:pPr>
          </w:p>
        </w:tc>
        <w:tc>
          <w:tcPr>
            <w:tcW w:w="1256" w:type="dxa"/>
            <w:gridSpan w:val="2"/>
            <w:tcBorders>
              <w:top w:val="nil"/>
              <w:left w:val="nil"/>
              <w:bottom w:val="nil"/>
              <w:right w:val="nil"/>
            </w:tcBorders>
            <w:shd w:val="clear" w:color="auto" w:fill="auto"/>
            <w:noWrap/>
            <w:vAlign w:val="bottom"/>
            <w:hideMark/>
          </w:tcPr>
          <w:p w14:paraId="2C716277" w14:textId="77777777" w:rsidR="0002316A" w:rsidRPr="00C66BD5" w:rsidRDefault="0002316A" w:rsidP="005F3681">
            <w:pPr>
              <w:rPr>
                <w:rFonts w:ascii="Arial" w:eastAsia="Times New Roman" w:hAnsi="Arial" w:cs="Arial"/>
                <w:color w:val="000000"/>
                <w:sz w:val="22"/>
                <w:szCs w:val="22"/>
                <w:lang w:val="en-GB"/>
              </w:rPr>
            </w:pPr>
          </w:p>
        </w:tc>
        <w:tc>
          <w:tcPr>
            <w:tcW w:w="3376" w:type="dxa"/>
            <w:gridSpan w:val="2"/>
            <w:tcBorders>
              <w:top w:val="nil"/>
              <w:left w:val="nil"/>
              <w:bottom w:val="nil"/>
              <w:right w:val="nil"/>
            </w:tcBorders>
            <w:shd w:val="clear" w:color="auto" w:fill="auto"/>
            <w:noWrap/>
            <w:vAlign w:val="bottom"/>
            <w:hideMark/>
          </w:tcPr>
          <w:p w14:paraId="14DB452D" w14:textId="77777777" w:rsidR="0002316A" w:rsidRPr="00C66BD5" w:rsidRDefault="0002316A" w:rsidP="005F3681">
            <w:pPr>
              <w:rPr>
                <w:rFonts w:ascii="Arial" w:eastAsia="Times New Roman" w:hAnsi="Arial" w:cs="Arial"/>
                <w:color w:val="000000"/>
                <w:sz w:val="22"/>
                <w:szCs w:val="22"/>
                <w:lang w:val="en-GB"/>
              </w:rPr>
            </w:pPr>
          </w:p>
        </w:tc>
        <w:tc>
          <w:tcPr>
            <w:tcW w:w="815" w:type="dxa"/>
            <w:gridSpan w:val="2"/>
            <w:tcBorders>
              <w:top w:val="nil"/>
              <w:left w:val="nil"/>
              <w:bottom w:val="nil"/>
              <w:right w:val="nil"/>
            </w:tcBorders>
            <w:shd w:val="clear" w:color="auto" w:fill="auto"/>
            <w:noWrap/>
            <w:vAlign w:val="bottom"/>
            <w:hideMark/>
          </w:tcPr>
          <w:p w14:paraId="3AF98FF0" w14:textId="77777777" w:rsidR="0002316A" w:rsidRPr="00C66BD5" w:rsidRDefault="0002316A" w:rsidP="005F3681">
            <w:pPr>
              <w:jc w:val="center"/>
              <w:rPr>
                <w:rFonts w:ascii="Arial" w:eastAsia="Times New Roman" w:hAnsi="Arial" w:cs="Arial"/>
                <w:color w:val="000000"/>
                <w:sz w:val="22"/>
                <w:szCs w:val="22"/>
                <w:lang w:val="en-GB"/>
              </w:rPr>
            </w:pPr>
          </w:p>
        </w:tc>
        <w:tc>
          <w:tcPr>
            <w:tcW w:w="1377" w:type="dxa"/>
            <w:gridSpan w:val="2"/>
            <w:tcBorders>
              <w:top w:val="nil"/>
              <w:left w:val="nil"/>
              <w:bottom w:val="nil"/>
              <w:right w:val="nil"/>
            </w:tcBorders>
            <w:shd w:val="clear" w:color="auto" w:fill="auto"/>
            <w:noWrap/>
            <w:vAlign w:val="bottom"/>
            <w:hideMark/>
          </w:tcPr>
          <w:p w14:paraId="1313B3B2" w14:textId="77777777" w:rsidR="0002316A" w:rsidRPr="00C66BD5" w:rsidRDefault="0002316A" w:rsidP="005F3681">
            <w:pPr>
              <w:jc w:val="center"/>
              <w:rPr>
                <w:rFonts w:ascii="Arial" w:eastAsia="Times New Roman" w:hAnsi="Arial" w:cs="Arial"/>
                <w:color w:val="000000"/>
                <w:sz w:val="22"/>
                <w:szCs w:val="22"/>
                <w:lang w:val="en-GB"/>
              </w:rPr>
            </w:pPr>
          </w:p>
        </w:tc>
        <w:tc>
          <w:tcPr>
            <w:tcW w:w="1956" w:type="dxa"/>
            <w:gridSpan w:val="4"/>
            <w:tcBorders>
              <w:top w:val="nil"/>
              <w:left w:val="nil"/>
              <w:bottom w:val="nil"/>
              <w:right w:val="nil"/>
            </w:tcBorders>
            <w:shd w:val="clear" w:color="auto" w:fill="auto"/>
            <w:noWrap/>
            <w:vAlign w:val="bottom"/>
            <w:hideMark/>
          </w:tcPr>
          <w:p w14:paraId="75E16E68" w14:textId="77777777" w:rsidR="0002316A" w:rsidRPr="00C66BD5" w:rsidRDefault="0002316A" w:rsidP="005F3681">
            <w:pPr>
              <w:jc w:val="center"/>
              <w:rPr>
                <w:rFonts w:ascii="Arial" w:eastAsia="Times New Roman" w:hAnsi="Arial" w:cs="Arial"/>
                <w:color w:val="000000"/>
                <w:sz w:val="22"/>
                <w:szCs w:val="22"/>
                <w:lang w:val="en-GB"/>
              </w:rPr>
            </w:pPr>
          </w:p>
        </w:tc>
        <w:tc>
          <w:tcPr>
            <w:tcW w:w="915" w:type="dxa"/>
            <w:gridSpan w:val="2"/>
            <w:tcBorders>
              <w:top w:val="nil"/>
              <w:left w:val="nil"/>
              <w:bottom w:val="nil"/>
              <w:right w:val="nil"/>
            </w:tcBorders>
            <w:shd w:val="clear" w:color="auto" w:fill="auto"/>
            <w:noWrap/>
            <w:vAlign w:val="bottom"/>
            <w:hideMark/>
          </w:tcPr>
          <w:p w14:paraId="64557534" w14:textId="77777777" w:rsidR="0002316A" w:rsidRPr="00C66BD5" w:rsidRDefault="0002316A" w:rsidP="005F3681">
            <w:pPr>
              <w:jc w:val="center"/>
              <w:rPr>
                <w:rFonts w:ascii="Arial" w:eastAsia="Times New Roman" w:hAnsi="Arial" w:cs="Arial"/>
                <w:color w:val="000000"/>
                <w:sz w:val="22"/>
                <w:szCs w:val="22"/>
                <w:lang w:val="en-GB"/>
              </w:rPr>
            </w:pPr>
          </w:p>
        </w:tc>
        <w:tc>
          <w:tcPr>
            <w:tcW w:w="915" w:type="dxa"/>
            <w:gridSpan w:val="2"/>
            <w:tcBorders>
              <w:top w:val="nil"/>
              <w:left w:val="nil"/>
              <w:bottom w:val="nil"/>
              <w:right w:val="nil"/>
            </w:tcBorders>
            <w:shd w:val="clear" w:color="auto" w:fill="auto"/>
            <w:noWrap/>
            <w:vAlign w:val="bottom"/>
            <w:hideMark/>
          </w:tcPr>
          <w:p w14:paraId="3D7E3B9C" w14:textId="77777777" w:rsidR="0002316A" w:rsidRPr="00C66BD5" w:rsidRDefault="0002316A" w:rsidP="005F3681">
            <w:pPr>
              <w:jc w:val="center"/>
              <w:rPr>
                <w:rFonts w:ascii="Arial" w:eastAsia="Times New Roman" w:hAnsi="Arial" w:cs="Arial"/>
                <w:color w:val="000000"/>
                <w:sz w:val="22"/>
                <w:szCs w:val="22"/>
                <w:lang w:val="en-GB"/>
              </w:rPr>
            </w:pPr>
          </w:p>
        </w:tc>
        <w:tc>
          <w:tcPr>
            <w:tcW w:w="915" w:type="dxa"/>
            <w:gridSpan w:val="2"/>
            <w:tcBorders>
              <w:top w:val="nil"/>
              <w:left w:val="nil"/>
              <w:bottom w:val="nil"/>
              <w:right w:val="nil"/>
            </w:tcBorders>
            <w:shd w:val="clear" w:color="auto" w:fill="auto"/>
            <w:noWrap/>
            <w:vAlign w:val="bottom"/>
            <w:hideMark/>
          </w:tcPr>
          <w:p w14:paraId="2EC1A2D8" w14:textId="77777777" w:rsidR="0002316A" w:rsidRPr="00C66BD5" w:rsidRDefault="0002316A" w:rsidP="005F3681">
            <w:pPr>
              <w:jc w:val="center"/>
              <w:rPr>
                <w:rFonts w:ascii="Arial" w:eastAsia="Times New Roman" w:hAnsi="Arial" w:cs="Arial"/>
                <w:color w:val="000000"/>
                <w:sz w:val="22"/>
                <w:szCs w:val="22"/>
                <w:lang w:val="en-GB"/>
              </w:rPr>
            </w:pPr>
          </w:p>
        </w:tc>
        <w:tc>
          <w:tcPr>
            <w:tcW w:w="1126" w:type="dxa"/>
            <w:tcBorders>
              <w:top w:val="nil"/>
              <w:left w:val="nil"/>
              <w:bottom w:val="nil"/>
              <w:right w:val="nil"/>
            </w:tcBorders>
            <w:shd w:val="clear" w:color="auto" w:fill="auto"/>
            <w:noWrap/>
            <w:vAlign w:val="bottom"/>
            <w:hideMark/>
          </w:tcPr>
          <w:p w14:paraId="559103C5" w14:textId="77777777" w:rsidR="0002316A" w:rsidRPr="00C66BD5" w:rsidRDefault="0002316A" w:rsidP="005F3681">
            <w:pPr>
              <w:jc w:val="center"/>
              <w:rPr>
                <w:rFonts w:ascii="Arial" w:eastAsia="Times New Roman" w:hAnsi="Arial" w:cs="Arial"/>
                <w:color w:val="000000"/>
                <w:sz w:val="22"/>
                <w:szCs w:val="22"/>
                <w:lang w:val="en-GB"/>
              </w:rPr>
            </w:pPr>
          </w:p>
        </w:tc>
      </w:tr>
      <w:tr w:rsidR="0002316A" w:rsidRPr="00C66BD5" w14:paraId="1025AA8A" w14:textId="77777777" w:rsidTr="005F3681">
        <w:trPr>
          <w:trHeight w:val="333"/>
        </w:trPr>
        <w:tc>
          <w:tcPr>
            <w:tcW w:w="1829" w:type="dxa"/>
            <w:gridSpan w:val="2"/>
            <w:tcBorders>
              <w:top w:val="nil"/>
              <w:left w:val="nil"/>
              <w:bottom w:val="nil"/>
              <w:right w:val="nil"/>
            </w:tcBorders>
            <w:shd w:val="clear" w:color="auto" w:fill="auto"/>
            <w:noWrap/>
            <w:hideMark/>
          </w:tcPr>
          <w:p w14:paraId="41D5011D"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SA</w:t>
            </w:r>
          </w:p>
        </w:tc>
        <w:tc>
          <w:tcPr>
            <w:tcW w:w="1256" w:type="dxa"/>
            <w:gridSpan w:val="2"/>
            <w:tcBorders>
              <w:top w:val="nil"/>
              <w:left w:val="nil"/>
              <w:bottom w:val="nil"/>
              <w:right w:val="nil"/>
            </w:tcBorders>
            <w:shd w:val="clear" w:color="auto" w:fill="auto"/>
            <w:noWrap/>
            <w:vAlign w:val="bottom"/>
            <w:hideMark/>
          </w:tcPr>
          <w:p w14:paraId="239887CF"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1</w:t>
            </w:r>
          </w:p>
        </w:tc>
        <w:tc>
          <w:tcPr>
            <w:tcW w:w="3376" w:type="dxa"/>
            <w:gridSpan w:val="2"/>
            <w:tcBorders>
              <w:top w:val="nil"/>
              <w:left w:val="nil"/>
              <w:bottom w:val="nil"/>
              <w:right w:val="nil"/>
            </w:tcBorders>
            <w:shd w:val="clear" w:color="auto" w:fill="auto"/>
            <w:noWrap/>
            <w:vAlign w:val="bottom"/>
            <w:hideMark/>
          </w:tcPr>
          <w:p w14:paraId="2D9ED49C"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superiorparietal</w:t>
            </w:r>
          </w:p>
        </w:tc>
        <w:tc>
          <w:tcPr>
            <w:tcW w:w="815" w:type="dxa"/>
            <w:gridSpan w:val="2"/>
            <w:tcBorders>
              <w:top w:val="nil"/>
              <w:left w:val="nil"/>
              <w:bottom w:val="nil"/>
              <w:right w:val="nil"/>
            </w:tcBorders>
            <w:shd w:val="clear" w:color="auto" w:fill="auto"/>
            <w:noWrap/>
            <w:hideMark/>
          </w:tcPr>
          <w:p w14:paraId="414F384B"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R</w:t>
            </w:r>
          </w:p>
        </w:tc>
        <w:tc>
          <w:tcPr>
            <w:tcW w:w="1377" w:type="dxa"/>
            <w:gridSpan w:val="2"/>
            <w:tcBorders>
              <w:top w:val="nil"/>
              <w:left w:val="nil"/>
              <w:bottom w:val="nil"/>
              <w:right w:val="nil"/>
            </w:tcBorders>
            <w:shd w:val="clear" w:color="auto" w:fill="auto"/>
            <w:noWrap/>
            <w:hideMark/>
          </w:tcPr>
          <w:p w14:paraId="172F6400" w14:textId="77777777" w:rsidR="0002316A" w:rsidRPr="00C66BD5" w:rsidRDefault="0002316A" w:rsidP="005F3681">
            <w:pPr>
              <w:jc w:val="center"/>
              <w:rPr>
                <w:rFonts w:ascii="Arial" w:eastAsia="Times New Roman" w:hAnsi="Arial" w:cs="Arial"/>
                <w:color w:val="000000"/>
                <w:sz w:val="22"/>
                <w:szCs w:val="22"/>
                <w:lang w:val="en-GB"/>
              </w:rPr>
            </w:pPr>
            <w:r>
              <w:rPr>
                <w:rFonts w:ascii="Arial" w:eastAsia="Times New Roman" w:hAnsi="Arial" w:cs="Arial"/>
                <w:color w:val="000000"/>
                <w:sz w:val="22"/>
                <w:szCs w:val="22"/>
                <w:lang w:val="en-GB"/>
              </w:rPr>
              <w:t>40</w:t>
            </w:r>
          </w:p>
        </w:tc>
        <w:tc>
          <w:tcPr>
            <w:tcW w:w="1956" w:type="dxa"/>
            <w:gridSpan w:val="4"/>
            <w:tcBorders>
              <w:top w:val="nil"/>
              <w:left w:val="nil"/>
              <w:bottom w:val="nil"/>
              <w:right w:val="nil"/>
            </w:tcBorders>
            <w:shd w:val="clear" w:color="auto" w:fill="auto"/>
            <w:noWrap/>
            <w:vAlign w:val="bottom"/>
            <w:hideMark/>
          </w:tcPr>
          <w:p w14:paraId="101C03CF"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969</w:t>
            </w:r>
          </w:p>
        </w:tc>
        <w:tc>
          <w:tcPr>
            <w:tcW w:w="915" w:type="dxa"/>
            <w:gridSpan w:val="2"/>
            <w:tcBorders>
              <w:top w:val="nil"/>
              <w:left w:val="nil"/>
              <w:bottom w:val="nil"/>
              <w:right w:val="nil"/>
            </w:tcBorders>
            <w:shd w:val="clear" w:color="auto" w:fill="auto"/>
            <w:noWrap/>
            <w:vAlign w:val="bottom"/>
            <w:hideMark/>
          </w:tcPr>
          <w:p w14:paraId="1DCACB55"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31</w:t>
            </w:r>
          </w:p>
        </w:tc>
        <w:tc>
          <w:tcPr>
            <w:tcW w:w="915" w:type="dxa"/>
            <w:gridSpan w:val="2"/>
            <w:tcBorders>
              <w:top w:val="nil"/>
              <w:left w:val="nil"/>
              <w:bottom w:val="nil"/>
              <w:right w:val="nil"/>
            </w:tcBorders>
            <w:shd w:val="clear" w:color="auto" w:fill="auto"/>
            <w:noWrap/>
            <w:vAlign w:val="bottom"/>
            <w:hideMark/>
          </w:tcPr>
          <w:p w14:paraId="07E73906"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-48.2</w:t>
            </w:r>
          </w:p>
        </w:tc>
        <w:tc>
          <w:tcPr>
            <w:tcW w:w="915" w:type="dxa"/>
            <w:gridSpan w:val="2"/>
            <w:tcBorders>
              <w:top w:val="nil"/>
              <w:left w:val="nil"/>
              <w:bottom w:val="nil"/>
              <w:right w:val="nil"/>
            </w:tcBorders>
            <w:shd w:val="clear" w:color="auto" w:fill="auto"/>
            <w:noWrap/>
            <w:vAlign w:val="bottom"/>
            <w:hideMark/>
          </w:tcPr>
          <w:p w14:paraId="4C83570C"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54</w:t>
            </w:r>
          </w:p>
        </w:tc>
        <w:tc>
          <w:tcPr>
            <w:tcW w:w="1126" w:type="dxa"/>
            <w:tcBorders>
              <w:top w:val="nil"/>
              <w:left w:val="nil"/>
              <w:bottom w:val="nil"/>
              <w:right w:val="nil"/>
            </w:tcBorders>
            <w:shd w:val="clear" w:color="auto" w:fill="auto"/>
            <w:noWrap/>
            <w:vAlign w:val="bottom"/>
            <w:hideMark/>
          </w:tcPr>
          <w:p w14:paraId="65AF4637"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-3.797</w:t>
            </w:r>
          </w:p>
        </w:tc>
      </w:tr>
      <w:tr w:rsidR="0002316A" w:rsidRPr="00C66BD5" w14:paraId="010FC93B" w14:textId="77777777" w:rsidTr="005F3681">
        <w:trPr>
          <w:trHeight w:val="300"/>
        </w:trPr>
        <w:tc>
          <w:tcPr>
            <w:tcW w:w="1829" w:type="dxa"/>
            <w:gridSpan w:val="2"/>
            <w:tcBorders>
              <w:top w:val="nil"/>
              <w:left w:val="nil"/>
              <w:bottom w:val="nil"/>
              <w:right w:val="nil"/>
            </w:tcBorders>
            <w:shd w:val="clear" w:color="auto" w:fill="auto"/>
            <w:noWrap/>
            <w:hideMark/>
          </w:tcPr>
          <w:p w14:paraId="100C1B98" w14:textId="77777777" w:rsidR="0002316A" w:rsidRPr="00C66BD5" w:rsidRDefault="0002316A" w:rsidP="005F3681">
            <w:pPr>
              <w:jc w:val="center"/>
              <w:rPr>
                <w:rFonts w:ascii="Arial" w:eastAsia="Times New Roman" w:hAnsi="Arial" w:cs="Arial"/>
                <w:color w:val="000000"/>
                <w:sz w:val="22"/>
                <w:szCs w:val="22"/>
                <w:lang w:val="en-GB"/>
              </w:rPr>
            </w:pPr>
          </w:p>
        </w:tc>
        <w:tc>
          <w:tcPr>
            <w:tcW w:w="1256" w:type="dxa"/>
            <w:gridSpan w:val="2"/>
            <w:tcBorders>
              <w:top w:val="nil"/>
              <w:left w:val="nil"/>
              <w:bottom w:val="nil"/>
              <w:right w:val="nil"/>
            </w:tcBorders>
            <w:shd w:val="clear" w:color="auto" w:fill="auto"/>
            <w:noWrap/>
            <w:vAlign w:val="bottom"/>
            <w:hideMark/>
          </w:tcPr>
          <w:p w14:paraId="3B8B572F"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w:t>
            </w:r>
          </w:p>
        </w:tc>
        <w:tc>
          <w:tcPr>
            <w:tcW w:w="3376" w:type="dxa"/>
            <w:gridSpan w:val="2"/>
            <w:tcBorders>
              <w:top w:val="nil"/>
              <w:left w:val="nil"/>
              <w:bottom w:val="nil"/>
              <w:right w:val="nil"/>
            </w:tcBorders>
            <w:shd w:val="clear" w:color="auto" w:fill="auto"/>
            <w:noWrap/>
            <w:vAlign w:val="bottom"/>
            <w:hideMark/>
          </w:tcPr>
          <w:p w14:paraId="6B9C6C0E"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inferiortemporal</w:t>
            </w:r>
          </w:p>
        </w:tc>
        <w:tc>
          <w:tcPr>
            <w:tcW w:w="815" w:type="dxa"/>
            <w:gridSpan w:val="2"/>
            <w:tcBorders>
              <w:top w:val="nil"/>
              <w:left w:val="nil"/>
              <w:bottom w:val="nil"/>
              <w:right w:val="nil"/>
            </w:tcBorders>
            <w:shd w:val="clear" w:color="auto" w:fill="auto"/>
            <w:noWrap/>
            <w:hideMark/>
          </w:tcPr>
          <w:p w14:paraId="6AEA47F3"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R</w:t>
            </w:r>
          </w:p>
        </w:tc>
        <w:tc>
          <w:tcPr>
            <w:tcW w:w="1377" w:type="dxa"/>
            <w:gridSpan w:val="2"/>
            <w:tcBorders>
              <w:top w:val="nil"/>
              <w:left w:val="nil"/>
              <w:bottom w:val="nil"/>
              <w:right w:val="nil"/>
            </w:tcBorders>
            <w:shd w:val="clear" w:color="auto" w:fill="auto"/>
            <w:noWrap/>
            <w:hideMark/>
          </w:tcPr>
          <w:p w14:paraId="38D720A6" w14:textId="77777777" w:rsidR="0002316A" w:rsidRPr="00C66BD5" w:rsidRDefault="0002316A" w:rsidP="005F3681">
            <w:pPr>
              <w:jc w:val="center"/>
              <w:rPr>
                <w:rFonts w:ascii="Arial" w:eastAsia="Times New Roman" w:hAnsi="Arial" w:cs="Arial"/>
                <w:color w:val="000000"/>
                <w:sz w:val="22"/>
                <w:szCs w:val="22"/>
                <w:lang w:val="en-GB"/>
              </w:rPr>
            </w:pPr>
            <w:r>
              <w:rPr>
                <w:rFonts w:ascii="Arial" w:eastAsia="Times New Roman" w:hAnsi="Arial" w:cs="Arial"/>
                <w:color w:val="000000"/>
                <w:sz w:val="22"/>
                <w:szCs w:val="22"/>
                <w:lang w:val="en-GB"/>
              </w:rPr>
              <w:t>20</w:t>
            </w:r>
          </w:p>
        </w:tc>
        <w:tc>
          <w:tcPr>
            <w:tcW w:w="1956" w:type="dxa"/>
            <w:gridSpan w:val="4"/>
            <w:tcBorders>
              <w:top w:val="nil"/>
              <w:left w:val="nil"/>
              <w:bottom w:val="nil"/>
              <w:right w:val="nil"/>
            </w:tcBorders>
            <w:shd w:val="clear" w:color="auto" w:fill="auto"/>
            <w:noWrap/>
            <w:vAlign w:val="bottom"/>
            <w:hideMark/>
          </w:tcPr>
          <w:p w14:paraId="300C6562"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620</w:t>
            </w:r>
          </w:p>
        </w:tc>
        <w:tc>
          <w:tcPr>
            <w:tcW w:w="915" w:type="dxa"/>
            <w:gridSpan w:val="2"/>
            <w:tcBorders>
              <w:top w:val="nil"/>
              <w:left w:val="nil"/>
              <w:bottom w:val="nil"/>
              <w:right w:val="nil"/>
            </w:tcBorders>
            <w:shd w:val="clear" w:color="auto" w:fill="auto"/>
            <w:noWrap/>
            <w:vAlign w:val="bottom"/>
            <w:hideMark/>
          </w:tcPr>
          <w:p w14:paraId="669A3BB6"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55.8</w:t>
            </w:r>
          </w:p>
        </w:tc>
        <w:tc>
          <w:tcPr>
            <w:tcW w:w="915" w:type="dxa"/>
            <w:gridSpan w:val="2"/>
            <w:tcBorders>
              <w:top w:val="nil"/>
              <w:left w:val="nil"/>
              <w:bottom w:val="nil"/>
              <w:right w:val="nil"/>
            </w:tcBorders>
            <w:shd w:val="clear" w:color="auto" w:fill="auto"/>
            <w:noWrap/>
            <w:vAlign w:val="bottom"/>
            <w:hideMark/>
          </w:tcPr>
          <w:p w14:paraId="45F1B086"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-43.4</w:t>
            </w:r>
          </w:p>
        </w:tc>
        <w:tc>
          <w:tcPr>
            <w:tcW w:w="915" w:type="dxa"/>
            <w:gridSpan w:val="2"/>
            <w:tcBorders>
              <w:top w:val="nil"/>
              <w:left w:val="nil"/>
              <w:bottom w:val="nil"/>
              <w:right w:val="nil"/>
            </w:tcBorders>
            <w:shd w:val="clear" w:color="auto" w:fill="auto"/>
            <w:noWrap/>
            <w:vAlign w:val="bottom"/>
            <w:hideMark/>
          </w:tcPr>
          <w:p w14:paraId="640DE4BC"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-11.7</w:t>
            </w:r>
          </w:p>
        </w:tc>
        <w:tc>
          <w:tcPr>
            <w:tcW w:w="1126" w:type="dxa"/>
            <w:tcBorders>
              <w:top w:val="nil"/>
              <w:left w:val="nil"/>
              <w:bottom w:val="nil"/>
              <w:right w:val="nil"/>
            </w:tcBorders>
            <w:shd w:val="clear" w:color="auto" w:fill="auto"/>
            <w:noWrap/>
            <w:vAlign w:val="bottom"/>
            <w:hideMark/>
          </w:tcPr>
          <w:p w14:paraId="040CFB42"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-2.545</w:t>
            </w:r>
          </w:p>
        </w:tc>
      </w:tr>
      <w:tr w:rsidR="0002316A" w:rsidRPr="00C66BD5" w14:paraId="748F9FD0" w14:textId="77777777" w:rsidTr="005F3681">
        <w:trPr>
          <w:trHeight w:val="300"/>
        </w:trPr>
        <w:tc>
          <w:tcPr>
            <w:tcW w:w="1829" w:type="dxa"/>
            <w:gridSpan w:val="2"/>
            <w:tcBorders>
              <w:top w:val="nil"/>
              <w:left w:val="nil"/>
              <w:bottom w:val="nil"/>
              <w:right w:val="nil"/>
            </w:tcBorders>
            <w:shd w:val="clear" w:color="auto" w:fill="auto"/>
            <w:noWrap/>
            <w:hideMark/>
          </w:tcPr>
          <w:p w14:paraId="55A77D07" w14:textId="77777777" w:rsidR="0002316A" w:rsidRPr="00C66BD5" w:rsidRDefault="0002316A" w:rsidP="005F3681">
            <w:pPr>
              <w:jc w:val="center"/>
              <w:rPr>
                <w:rFonts w:ascii="Arial" w:eastAsia="Times New Roman" w:hAnsi="Arial" w:cs="Arial"/>
                <w:color w:val="000000"/>
                <w:sz w:val="22"/>
                <w:szCs w:val="22"/>
                <w:lang w:val="en-GB"/>
              </w:rPr>
            </w:pPr>
          </w:p>
        </w:tc>
        <w:tc>
          <w:tcPr>
            <w:tcW w:w="1256" w:type="dxa"/>
            <w:gridSpan w:val="2"/>
            <w:tcBorders>
              <w:top w:val="nil"/>
              <w:left w:val="nil"/>
              <w:bottom w:val="nil"/>
              <w:right w:val="nil"/>
            </w:tcBorders>
            <w:shd w:val="clear" w:color="auto" w:fill="auto"/>
            <w:noWrap/>
            <w:vAlign w:val="bottom"/>
            <w:hideMark/>
          </w:tcPr>
          <w:p w14:paraId="15744FE9"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3</w:t>
            </w:r>
          </w:p>
        </w:tc>
        <w:tc>
          <w:tcPr>
            <w:tcW w:w="3376" w:type="dxa"/>
            <w:gridSpan w:val="2"/>
            <w:tcBorders>
              <w:top w:val="nil"/>
              <w:left w:val="nil"/>
              <w:bottom w:val="nil"/>
              <w:right w:val="nil"/>
            </w:tcBorders>
            <w:shd w:val="clear" w:color="auto" w:fill="auto"/>
            <w:noWrap/>
            <w:vAlign w:val="bottom"/>
            <w:hideMark/>
          </w:tcPr>
          <w:p w14:paraId="2A2A5ED5"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parsorbitalis</w:t>
            </w:r>
          </w:p>
        </w:tc>
        <w:tc>
          <w:tcPr>
            <w:tcW w:w="815" w:type="dxa"/>
            <w:gridSpan w:val="2"/>
            <w:tcBorders>
              <w:top w:val="nil"/>
              <w:left w:val="nil"/>
              <w:bottom w:val="nil"/>
              <w:right w:val="nil"/>
            </w:tcBorders>
            <w:shd w:val="clear" w:color="auto" w:fill="auto"/>
            <w:noWrap/>
            <w:hideMark/>
          </w:tcPr>
          <w:p w14:paraId="3684EC45"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R</w:t>
            </w:r>
          </w:p>
        </w:tc>
        <w:tc>
          <w:tcPr>
            <w:tcW w:w="1377" w:type="dxa"/>
            <w:gridSpan w:val="2"/>
            <w:tcBorders>
              <w:top w:val="nil"/>
              <w:left w:val="nil"/>
              <w:bottom w:val="nil"/>
              <w:right w:val="nil"/>
            </w:tcBorders>
            <w:shd w:val="clear" w:color="auto" w:fill="auto"/>
            <w:noWrap/>
            <w:hideMark/>
          </w:tcPr>
          <w:p w14:paraId="2468D335" w14:textId="77777777" w:rsidR="0002316A" w:rsidRPr="00C66BD5" w:rsidRDefault="0002316A" w:rsidP="005F3681">
            <w:pPr>
              <w:jc w:val="center"/>
              <w:rPr>
                <w:rFonts w:ascii="Arial" w:eastAsia="Times New Roman" w:hAnsi="Arial" w:cs="Arial"/>
                <w:color w:val="000000"/>
                <w:sz w:val="22"/>
                <w:szCs w:val="22"/>
                <w:lang w:val="en-GB"/>
              </w:rPr>
            </w:pPr>
            <w:r>
              <w:rPr>
                <w:rFonts w:ascii="Arial" w:eastAsia="Times New Roman" w:hAnsi="Arial" w:cs="Arial"/>
                <w:color w:val="000000"/>
                <w:sz w:val="22"/>
                <w:szCs w:val="22"/>
                <w:lang w:val="en-GB"/>
              </w:rPr>
              <w:t>47</w:t>
            </w:r>
          </w:p>
        </w:tc>
        <w:tc>
          <w:tcPr>
            <w:tcW w:w="1956" w:type="dxa"/>
            <w:gridSpan w:val="4"/>
            <w:tcBorders>
              <w:top w:val="nil"/>
              <w:left w:val="nil"/>
              <w:bottom w:val="nil"/>
              <w:right w:val="nil"/>
            </w:tcBorders>
            <w:shd w:val="clear" w:color="auto" w:fill="auto"/>
            <w:noWrap/>
            <w:vAlign w:val="bottom"/>
            <w:hideMark/>
          </w:tcPr>
          <w:p w14:paraId="647B5E4F"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408</w:t>
            </w:r>
          </w:p>
        </w:tc>
        <w:tc>
          <w:tcPr>
            <w:tcW w:w="915" w:type="dxa"/>
            <w:gridSpan w:val="2"/>
            <w:tcBorders>
              <w:top w:val="nil"/>
              <w:left w:val="nil"/>
              <w:bottom w:val="nil"/>
              <w:right w:val="nil"/>
            </w:tcBorders>
            <w:shd w:val="clear" w:color="auto" w:fill="auto"/>
            <w:noWrap/>
            <w:vAlign w:val="bottom"/>
            <w:hideMark/>
          </w:tcPr>
          <w:p w14:paraId="6BDDF688"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43.7</w:t>
            </w:r>
          </w:p>
        </w:tc>
        <w:tc>
          <w:tcPr>
            <w:tcW w:w="915" w:type="dxa"/>
            <w:gridSpan w:val="2"/>
            <w:tcBorders>
              <w:top w:val="nil"/>
              <w:left w:val="nil"/>
              <w:bottom w:val="nil"/>
              <w:right w:val="nil"/>
            </w:tcBorders>
            <w:shd w:val="clear" w:color="auto" w:fill="auto"/>
            <w:noWrap/>
            <w:vAlign w:val="bottom"/>
            <w:hideMark/>
          </w:tcPr>
          <w:p w14:paraId="3D47A695"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36.3</w:t>
            </w:r>
          </w:p>
        </w:tc>
        <w:tc>
          <w:tcPr>
            <w:tcW w:w="915" w:type="dxa"/>
            <w:gridSpan w:val="2"/>
            <w:tcBorders>
              <w:top w:val="nil"/>
              <w:left w:val="nil"/>
              <w:bottom w:val="nil"/>
              <w:right w:val="nil"/>
            </w:tcBorders>
            <w:shd w:val="clear" w:color="auto" w:fill="auto"/>
            <w:noWrap/>
            <w:vAlign w:val="bottom"/>
            <w:hideMark/>
          </w:tcPr>
          <w:p w14:paraId="00CE809E"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-8.6</w:t>
            </w:r>
          </w:p>
        </w:tc>
        <w:tc>
          <w:tcPr>
            <w:tcW w:w="1126" w:type="dxa"/>
            <w:tcBorders>
              <w:top w:val="nil"/>
              <w:left w:val="nil"/>
              <w:bottom w:val="nil"/>
              <w:right w:val="nil"/>
            </w:tcBorders>
            <w:shd w:val="clear" w:color="auto" w:fill="auto"/>
            <w:noWrap/>
            <w:vAlign w:val="bottom"/>
            <w:hideMark/>
          </w:tcPr>
          <w:p w14:paraId="0D28E2C0"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3.333</w:t>
            </w:r>
          </w:p>
        </w:tc>
      </w:tr>
      <w:tr w:rsidR="0002316A" w:rsidRPr="00C66BD5" w14:paraId="45E7EAB7" w14:textId="77777777" w:rsidTr="005F3681">
        <w:trPr>
          <w:trHeight w:val="300"/>
        </w:trPr>
        <w:tc>
          <w:tcPr>
            <w:tcW w:w="1829" w:type="dxa"/>
            <w:gridSpan w:val="2"/>
            <w:tcBorders>
              <w:top w:val="nil"/>
              <w:left w:val="nil"/>
              <w:bottom w:val="nil"/>
              <w:right w:val="nil"/>
            </w:tcBorders>
            <w:shd w:val="clear" w:color="auto" w:fill="auto"/>
            <w:noWrap/>
            <w:hideMark/>
          </w:tcPr>
          <w:p w14:paraId="44F2DF84" w14:textId="77777777" w:rsidR="0002316A" w:rsidRPr="00C66BD5" w:rsidRDefault="0002316A" w:rsidP="005F3681">
            <w:pPr>
              <w:rPr>
                <w:rFonts w:ascii="Arial" w:eastAsia="Times New Roman" w:hAnsi="Arial" w:cs="Arial"/>
                <w:color w:val="000000"/>
                <w:sz w:val="22"/>
                <w:szCs w:val="22"/>
                <w:lang w:val="en-GB"/>
              </w:rPr>
            </w:pPr>
          </w:p>
        </w:tc>
        <w:tc>
          <w:tcPr>
            <w:tcW w:w="1256" w:type="dxa"/>
            <w:gridSpan w:val="2"/>
            <w:tcBorders>
              <w:top w:val="nil"/>
              <w:left w:val="nil"/>
              <w:bottom w:val="nil"/>
              <w:right w:val="nil"/>
            </w:tcBorders>
            <w:shd w:val="clear" w:color="auto" w:fill="auto"/>
            <w:noWrap/>
            <w:vAlign w:val="bottom"/>
            <w:hideMark/>
          </w:tcPr>
          <w:p w14:paraId="3475B13B"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4</w:t>
            </w:r>
          </w:p>
        </w:tc>
        <w:tc>
          <w:tcPr>
            <w:tcW w:w="3376" w:type="dxa"/>
            <w:gridSpan w:val="2"/>
            <w:tcBorders>
              <w:top w:val="nil"/>
              <w:left w:val="nil"/>
              <w:bottom w:val="nil"/>
              <w:right w:val="nil"/>
            </w:tcBorders>
            <w:shd w:val="clear" w:color="auto" w:fill="auto"/>
            <w:noWrap/>
            <w:vAlign w:val="bottom"/>
            <w:hideMark/>
          </w:tcPr>
          <w:p w14:paraId="221CFBF4"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pericalcarine</w:t>
            </w:r>
          </w:p>
        </w:tc>
        <w:tc>
          <w:tcPr>
            <w:tcW w:w="815" w:type="dxa"/>
            <w:gridSpan w:val="2"/>
            <w:tcBorders>
              <w:top w:val="nil"/>
              <w:left w:val="nil"/>
              <w:bottom w:val="nil"/>
              <w:right w:val="nil"/>
            </w:tcBorders>
            <w:shd w:val="clear" w:color="auto" w:fill="auto"/>
            <w:noWrap/>
            <w:hideMark/>
          </w:tcPr>
          <w:p w14:paraId="4CFA791C"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R</w:t>
            </w:r>
          </w:p>
        </w:tc>
        <w:tc>
          <w:tcPr>
            <w:tcW w:w="1377" w:type="dxa"/>
            <w:gridSpan w:val="2"/>
            <w:tcBorders>
              <w:top w:val="nil"/>
              <w:left w:val="nil"/>
              <w:bottom w:val="nil"/>
              <w:right w:val="nil"/>
            </w:tcBorders>
            <w:shd w:val="clear" w:color="auto" w:fill="auto"/>
            <w:noWrap/>
            <w:hideMark/>
          </w:tcPr>
          <w:p w14:paraId="40050D39" w14:textId="77777777" w:rsidR="0002316A" w:rsidRPr="00C66BD5" w:rsidRDefault="0002316A" w:rsidP="005F3681">
            <w:pPr>
              <w:jc w:val="center"/>
              <w:rPr>
                <w:rFonts w:ascii="Arial" w:eastAsia="Times New Roman" w:hAnsi="Arial" w:cs="Arial"/>
                <w:color w:val="000000"/>
                <w:sz w:val="22"/>
                <w:szCs w:val="22"/>
                <w:lang w:val="en-GB"/>
              </w:rPr>
            </w:pPr>
            <w:r>
              <w:rPr>
                <w:rFonts w:ascii="Arial" w:eastAsia="Times New Roman" w:hAnsi="Arial" w:cs="Arial"/>
                <w:color w:val="000000"/>
                <w:sz w:val="22"/>
                <w:szCs w:val="22"/>
                <w:lang w:val="en-GB"/>
              </w:rPr>
              <w:t>23</w:t>
            </w:r>
          </w:p>
        </w:tc>
        <w:tc>
          <w:tcPr>
            <w:tcW w:w="1956" w:type="dxa"/>
            <w:gridSpan w:val="4"/>
            <w:tcBorders>
              <w:top w:val="nil"/>
              <w:left w:val="nil"/>
              <w:bottom w:val="nil"/>
              <w:right w:val="nil"/>
            </w:tcBorders>
            <w:shd w:val="clear" w:color="auto" w:fill="auto"/>
            <w:noWrap/>
            <w:vAlign w:val="bottom"/>
            <w:hideMark/>
          </w:tcPr>
          <w:p w14:paraId="1CD92CAF"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410</w:t>
            </w:r>
          </w:p>
        </w:tc>
        <w:tc>
          <w:tcPr>
            <w:tcW w:w="915" w:type="dxa"/>
            <w:gridSpan w:val="2"/>
            <w:tcBorders>
              <w:top w:val="nil"/>
              <w:left w:val="nil"/>
              <w:bottom w:val="nil"/>
              <w:right w:val="nil"/>
            </w:tcBorders>
            <w:shd w:val="clear" w:color="auto" w:fill="auto"/>
            <w:noWrap/>
            <w:vAlign w:val="bottom"/>
            <w:hideMark/>
          </w:tcPr>
          <w:p w14:paraId="5293FB68"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9</w:t>
            </w:r>
          </w:p>
        </w:tc>
        <w:tc>
          <w:tcPr>
            <w:tcW w:w="915" w:type="dxa"/>
            <w:gridSpan w:val="2"/>
            <w:tcBorders>
              <w:top w:val="nil"/>
              <w:left w:val="nil"/>
              <w:bottom w:val="nil"/>
              <w:right w:val="nil"/>
            </w:tcBorders>
            <w:shd w:val="clear" w:color="auto" w:fill="auto"/>
            <w:noWrap/>
            <w:vAlign w:val="bottom"/>
            <w:hideMark/>
          </w:tcPr>
          <w:p w14:paraId="1220A9B6"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-72.9</w:t>
            </w:r>
          </w:p>
        </w:tc>
        <w:tc>
          <w:tcPr>
            <w:tcW w:w="915" w:type="dxa"/>
            <w:gridSpan w:val="2"/>
            <w:tcBorders>
              <w:top w:val="nil"/>
              <w:left w:val="nil"/>
              <w:bottom w:val="nil"/>
              <w:right w:val="nil"/>
            </w:tcBorders>
            <w:shd w:val="clear" w:color="auto" w:fill="auto"/>
            <w:noWrap/>
            <w:vAlign w:val="bottom"/>
            <w:hideMark/>
          </w:tcPr>
          <w:p w14:paraId="0A1B784C"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7.7</w:t>
            </w:r>
          </w:p>
        </w:tc>
        <w:tc>
          <w:tcPr>
            <w:tcW w:w="1126" w:type="dxa"/>
            <w:tcBorders>
              <w:top w:val="nil"/>
              <w:left w:val="nil"/>
              <w:bottom w:val="nil"/>
              <w:right w:val="nil"/>
            </w:tcBorders>
            <w:shd w:val="clear" w:color="auto" w:fill="auto"/>
            <w:noWrap/>
            <w:vAlign w:val="bottom"/>
            <w:hideMark/>
          </w:tcPr>
          <w:p w14:paraId="5AE2B288"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-2.291</w:t>
            </w:r>
          </w:p>
        </w:tc>
      </w:tr>
      <w:tr w:rsidR="0002316A" w:rsidRPr="00C66BD5" w14:paraId="7D64EE36" w14:textId="77777777" w:rsidTr="005F3681">
        <w:trPr>
          <w:trHeight w:val="300"/>
        </w:trPr>
        <w:tc>
          <w:tcPr>
            <w:tcW w:w="1829" w:type="dxa"/>
            <w:gridSpan w:val="2"/>
            <w:tcBorders>
              <w:top w:val="nil"/>
              <w:left w:val="nil"/>
              <w:bottom w:val="nil"/>
              <w:right w:val="nil"/>
            </w:tcBorders>
            <w:shd w:val="clear" w:color="auto" w:fill="auto"/>
            <w:noWrap/>
            <w:hideMark/>
          </w:tcPr>
          <w:p w14:paraId="6D244A1E" w14:textId="77777777" w:rsidR="0002316A" w:rsidRPr="00C66BD5" w:rsidRDefault="0002316A" w:rsidP="005F3681">
            <w:pPr>
              <w:jc w:val="center"/>
              <w:rPr>
                <w:rFonts w:ascii="Arial" w:eastAsia="Times New Roman" w:hAnsi="Arial" w:cs="Arial"/>
                <w:color w:val="000000"/>
                <w:sz w:val="22"/>
                <w:szCs w:val="22"/>
                <w:lang w:val="en-GB"/>
              </w:rPr>
            </w:pPr>
          </w:p>
        </w:tc>
        <w:tc>
          <w:tcPr>
            <w:tcW w:w="1256" w:type="dxa"/>
            <w:gridSpan w:val="2"/>
            <w:tcBorders>
              <w:top w:val="nil"/>
              <w:left w:val="nil"/>
              <w:bottom w:val="nil"/>
              <w:right w:val="nil"/>
            </w:tcBorders>
            <w:shd w:val="clear" w:color="auto" w:fill="auto"/>
            <w:noWrap/>
            <w:vAlign w:val="bottom"/>
            <w:hideMark/>
          </w:tcPr>
          <w:p w14:paraId="243C405C"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5</w:t>
            </w:r>
          </w:p>
        </w:tc>
        <w:tc>
          <w:tcPr>
            <w:tcW w:w="3376" w:type="dxa"/>
            <w:gridSpan w:val="2"/>
            <w:tcBorders>
              <w:top w:val="nil"/>
              <w:left w:val="nil"/>
              <w:bottom w:val="nil"/>
              <w:right w:val="nil"/>
            </w:tcBorders>
            <w:shd w:val="clear" w:color="auto" w:fill="auto"/>
            <w:noWrap/>
            <w:vAlign w:val="bottom"/>
            <w:hideMark/>
          </w:tcPr>
          <w:p w14:paraId="367DCCC9"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superiorparietal</w:t>
            </w:r>
          </w:p>
        </w:tc>
        <w:tc>
          <w:tcPr>
            <w:tcW w:w="815" w:type="dxa"/>
            <w:gridSpan w:val="2"/>
            <w:tcBorders>
              <w:top w:val="nil"/>
              <w:left w:val="nil"/>
              <w:bottom w:val="nil"/>
              <w:right w:val="nil"/>
            </w:tcBorders>
            <w:shd w:val="clear" w:color="auto" w:fill="auto"/>
            <w:noWrap/>
            <w:hideMark/>
          </w:tcPr>
          <w:p w14:paraId="1325F9D0"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R</w:t>
            </w:r>
          </w:p>
        </w:tc>
        <w:tc>
          <w:tcPr>
            <w:tcW w:w="1377" w:type="dxa"/>
            <w:gridSpan w:val="2"/>
            <w:tcBorders>
              <w:top w:val="nil"/>
              <w:left w:val="nil"/>
              <w:bottom w:val="nil"/>
              <w:right w:val="nil"/>
            </w:tcBorders>
            <w:shd w:val="clear" w:color="auto" w:fill="auto"/>
            <w:noWrap/>
            <w:hideMark/>
          </w:tcPr>
          <w:p w14:paraId="32ED5C48" w14:textId="77777777" w:rsidR="0002316A" w:rsidRPr="00C66BD5" w:rsidRDefault="0002316A" w:rsidP="005F3681">
            <w:pPr>
              <w:jc w:val="center"/>
              <w:rPr>
                <w:rFonts w:ascii="Arial" w:eastAsia="Times New Roman" w:hAnsi="Arial" w:cs="Arial"/>
                <w:color w:val="000000"/>
                <w:sz w:val="22"/>
                <w:szCs w:val="22"/>
                <w:lang w:val="en-GB"/>
              </w:rPr>
            </w:pPr>
            <w:r>
              <w:rPr>
                <w:rFonts w:ascii="Arial" w:eastAsia="Times New Roman" w:hAnsi="Arial" w:cs="Arial"/>
                <w:color w:val="000000"/>
                <w:sz w:val="22"/>
                <w:szCs w:val="22"/>
                <w:lang w:val="en-GB"/>
              </w:rPr>
              <w:t>40</w:t>
            </w:r>
          </w:p>
        </w:tc>
        <w:tc>
          <w:tcPr>
            <w:tcW w:w="1956" w:type="dxa"/>
            <w:gridSpan w:val="4"/>
            <w:tcBorders>
              <w:top w:val="nil"/>
              <w:left w:val="nil"/>
              <w:bottom w:val="nil"/>
              <w:right w:val="nil"/>
            </w:tcBorders>
            <w:shd w:val="clear" w:color="auto" w:fill="auto"/>
            <w:noWrap/>
            <w:vAlign w:val="bottom"/>
            <w:hideMark/>
          </w:tcPr>
          <w:p w14:paraId="56FA0714"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567</w:t>
            </w:r>
          </w:p>
        </w:tc>
        <w:tc>
          <w:tcPr>
            <w:tcW w:w="915" w:type="dxa"/>
            <w:gridSpan w:val="2"/>
            <w:tcBorders>
              <w:top w:val="nil"/>
              <w:left w:val="nil"/>
              <w:bottom w:val="nil"/>
              <w:right w:val="nil"/>
            </w:tcBorders>
            <w:shd w:val="clear" w:color="auto" w:fill="auto"/>
            <w:noWrap/>
            <w:vAlign w:val="bottom"/>
            <w:hideMark/>
          </w:tcPr>
          <w:p w14:paraId="50EE6AB3"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22.9</w:t>
            </w:r>
          </w:p>
        </w:tc>
        <w:tc>
          <w:tcPr>
            <w:tcW w:w="915" w:type="dxa"/>
            <w:gridSpan w:val="2"/>
            <w:tcBorders>
              <w:top w:val="nil"/>
              <w:left w:val="nil"/>
              <w:bottom w:val="nil"/>
              <w:right w:val="nil"/>
            </w:tcBorders>
            <w:shd w:val="clear" w:color="auto" w:fill="auto"/>
            <w:noWrap/>
            <w:vAlign w:val="bottom"/>
            <w:hideMark/>
          </w:tcPr>
          <w:p w14:paraId="65802619"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-39.8</w:t>
            </w:r>
          </w:p>
        </w:tc>
        <w:tc>
          <w:tcPr>
            <w:tcW w:w="915" w:type="dxa"/>
            <w:gridSpan w:val="2"/>
            <w:tcBorders>
              <w:top w:val="nil"/>
              <w:left w:val="nil"/>
              <w:bottom w:val="nil"/>
              <w:right w:val="nil"/>
            </w:tcBorders>
            <w:shd w:val="clear" w:color="auto" w:fill="auto"/>
            <w:noWrap/>
            <w:vAlign w:val="bottom"/>
            <w:hideMark/>
          </w:tcPr>
          <w:p w14:paraId="00427B75"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56.8</w:t>
            </w:r>
          </w:p>
        </w:tc>
        <w:tc>
          <w:tcPr>
            <w:tcW w:w="1126" w:type="dxa"/>
            <w:tcBorders>
              <w:top w:val="nil"/>
              <w:left w:val="nil"/>
              <w:bottom w:val="nil"/>
              <w:right w:val="nil"/>
            </w:tcBorders>
            <w:shd w:val="clear" w:color="auto" w:fill="auto"/>
            <w:noWrap/>
            <w:vAlign w:val="bottom"/>
            <w:hideMark/>
          </w:tcPr>
          <w:p w14:paraId="1186D9F9"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-3.019</w:t>
            </w:r>
          </w:p>
        </w:tc>
      </w:tr>
      <w:tr w:rsidR="0002316A" w:rsidRPr="00C66BD5" w14:paraId="0D1CDB86" w14:textId="77777777" w:rsidTr="005F3681">
        <w:trPr>
          <w:trHeight w:val="300"/>
        </w:trPr>
        <w:tc>
          <w:tcPr>
            <w:tcW w:w="1829" w:type="dxa"/>
            <w:gridSpan w:val="2"/>
            <w:tcBorders>
              <w:top w:val="nil"/>
              <w:left w:val="nil"/>
              <w:bottom w:val="nil"/>
              <w:right w:val="nil"/>
            </w:tcBorders>
            <w:shd w:val="clear" w:color="auto" w:fill="auto"/>
            <w:noWrap/>
            <w:hideMark/>
          </w:tcPr>
          <w:p w14:paraId="24138423" w14:textId="77777777" w:rsidR="0002316A" w:rsidRPr="00C66BD5" w:rsidRDefault="0002316A" w:rsidP="005F3681">
            <w:pPr>
              <w:jc w:val="center"/>
              <w:rPr>
                <w:rFonts w:ascii="Arial" w:eastAsia="Times New Roman" w:hAnsi="Arial" w:cs="Arial"/>
                <w:color w:val="000000"/>
                <w:sz w:val="22"/>
                <w:szCs w:val="22"/>
                <w:lang w:val="en-GB"/>
              </w:rPr>
            </w:pPr>
          </w:p>
        </w:tc>
        <w:tc>
          <w:tcPr>
            <w:tcW w:w="1256" w:type="dxa"/>
            <w:gridSpan w:val="2"/>
            <w:tcBorders>
              <w:top w:val="nil"/>
              <w:left w:val="nil"/>
              <w:bottom w:val="nil"/>
              <w:right w:val="nil"/>
            </w:tcBorders>
            <w:shd w:val="clear" w:color="auto" w:fill="auto"/>
            <w:noWrap/>
            <w:vAlign w:val="bottom"/>
            <w:hideMark/>
          </w:tcPr>
          <w:p w14:paraId="1BC0FBC6"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6</w:t>
            </w:r>
          </w:p>
        </w:tc>
        <w:tc>
          <w:tcPr>
            <w:tcW w:w="3376" w:type="dxa"/>
            <w:gridSpan w:val="2"/>
            <w:tcBorders>
              <w:top w:val="nil"/>
              <w:left w:val="nil"/>
              <w:bottom w:val="nil"/>
              <w:right w:val="nil"/>
            </w:tcBorders>
            <w:shd w:val="clear" w:color="auto" w:fill="auto"/>
            <w:noWrap/>
            <w:vAlign w:val="bottom"/>
            <w:hideMark/>
          </w:tcPr>
          <w:p w14:paraId="5587923A"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lateraloccipital</w:t>
            </w:r>
          </w:p>
        </w:tc>
        <w:tc>
          <w:tcPr>
            <w:tcW w:w="815" w:type="dxa"/>
            <w:gridSpan w:val="2"/>
            <w:tcBorders>
              <w:top w:val="nil"/>
              <w:left w:val="nil"/>
              <w:bottom w:val="nil"/>
              <w:right w:val="nil"/>
            </w:tcBorders>
            <w:shd w:val="clear" w:color="auto" w:fill="auto"/>
            <w:noWrap/>
            <w:hideMark/>
          </w:tcPr>
          <w:p w14:paraId="4D0196DB"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R</w:t>
            </w:r>
          </w:p>
        </w:tc>
        <w:tc>
          <w:tcPr>
            <w:tcW w:w="1377" w:type="dxa"/>
            <w:gridSpan w:val="2"/>
            <w:tcBorders>
              <w:top w:val="nil"/>
              <w:left w:val="nil"/>
              <w:bottom w:val="nil"/>
              <w:right w:val="nil"/>
            </w:tcBorders>
            <w:shd w:val="clear" w:color="auto" w:fill="auto"/>
            <w:noWrap/>
            <w:hideMark/>
          </w:tcPr>
          <w:p w14:paraId="51053CF4" w14:textId="77777777" w:rsidR="0002316A" w:rsidRPr="00C66BD5" w:rsidRDefault="0002316A" w:rsidP="005F3681">
            <w:pPr>
              <w:jc w:val="center"/>
              <w:rPr>
                <w:rFonts w:ascii="Arial" w:eastAsia="Times New Roman" w:hAnsi="Arial" w:cs="Arial"/>
                <w:color w:val="000000"/>
                <w:sz w:val="22"/>
                <w:szCs w:val="22"/>
                <w:lang w:val="en-GB"/>
              </w:rPr>
            </w:pPr>
            <w:r>
              <w:rPr>
                <w:rFonts w:ascii="Arial" w:eastAsia="Times New Roman" w:hAnsi="Arial" w:cs="Arial"/>
                <w:color w:val="000000"/>
                <w:sz w:val="22"/>
                <w:szCs w:val="22"/>
                <w:lang w:val="en-GB"/>
              </w:rPr>
              <w:t>18</w:t>
            </w:r>
          </w:p>
        </w:tc>
        <w:tc>
          <w:tcPr>
            <w:tcW w:w="1956" w:type="dxa"/>
            <w:gridSpan w:val="4"/>
            <w:tcBorders>
              <w:top w:val="nil"/>
              <w:left w:val="nil"/>
              <w:bottom w:val="nil"/>
              <w:right w:val="nil"/>
            </w:tcBorders>
            <w:shd w:val="clear" w:color="auto" w:fill="auto"/>
            <w:noWrap/>
            <w:vAlign w:val="bottom"/>
            <w:hideMark/>
          </w:tcPr>
          <w:p w14:paraId="51003DF9"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205</w:t>
            </w:r>
          </w:p>
        </w:tc>
        <w:tc>
          <w:tcPr>
            <w:tcW w:w="915" w:type="dxa"/>
            <w:gridSpan w:val="2"/>
            <w:tcBorders>
              <w:top w:val="nil"/>
              <w:left w:val="nil"/>
              <w:bottom w:val="nil"/>
              <w:right w:val="nil"/>
            </w:tcBorders>
            <w:shd w:val="clear" w:color="auto" w:fill="auto"/>
            <w:noWrap/>
            <w:vAlign w:val="bottom"/>
            <w:hideMark/>
          </w:tcPr>
          <w:p w14:paraId="1156516D"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14.4</w:t>
            </w:r>
          </w:p>
        </w:tc>
        <w:tc>
          <w:tcPr>
            <w:tcW w:w="915" w:type="dxa"/>
            <w:gridSpan w:val="2"/>
            <w:tcBorders>
              <w:top w:val="nil"/>
              <w:left w:val="nil"/>
              <w:bottom w:val="nil"/>
              <w:right w:val="nil"/>
            </w:tcBorders>
            <w:shd w:val="clear" w:color="auto" w:fill="auto"/>
            <w:noWrap/>
            <w:vAlign w:val="bottom"/>
            <w:hideMark/>
          </w:tcPr>
          <w:p w14:paraId="377E7F84"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-95.2</w:t>
            </w:r>
          </w:p>
        </w:tc>
        <w:tc>
          <w:tcPr>
            <w:tcW w:w="915" w:type="dxa"/>
            <w:gridSpan w:val="2"/>
            <w:tcBorders>
              <w:top w:val="nil"/>
              <w:left w:val="nil"/>
              <w:bottom w:val="nil"/>
              <w:right w:val="nil"/>
            </w:tcBorders>
            <w:shd w:val="clear" w:color="auto" w:fill="auto"/>
            <w:noWrap/>
            <w:vAlign w:val="bottom"/>
            <w:hideMark/>
          </w:tcPr>
          <w:p w14:paraId="0AEEB848"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7.8</w:t>
            </w:r>
          </w:p>
        </w:tc>
        <w:tc>
          <w:tcPr>
            <w:tcW w:w="1126" w:type="dxa"/>
            <w:tcBorders>
              <w:top w:val="nil"/>
              <w:left w:val="nil"/>
              <w:bottom w:val="nil"/>
              <w:right w:val="nil"/>
            </w:tcBorders>
            <w:shd w:val="clear" w:color="auto" w:fill="auto"/>
            <w:noWrap/>
            <w:vAlign w:val="bottom"/>
            <w:hideMark/>
          </w:tcPr>
          <w:p w14:paraId="03206705"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-2.332</w:t>
            </w:r>
          </w:p>
        </w:tc>
      </w:tr>
      <w:tr w:rsidR="0002316A" w:rsidRPr="00C66BD5" w14:paraId="47A2BE20" w14:textId="77777777" w:rsidTr="005F3681">
        <w:trPr>
          <w:trHeight w:val="300"/>
        </w:trPr>
        <w:tc>
          <w:tcPr>
            <w:tcW w:w="1829" w:type="dxa"/>
            <w:gridSpan w:val="2"/>
            <w:tcBorders>
              <w:top w:val="nil"/>
              <w:left w:val="nil"/>
              <w:bottom w:val="nil"/>
              <w:right w:val="nil"/>
            </w:tcBorders>
            <w:shd w:val="clear" w:color="auto" w:fill="auto"/>
            <w:noWrap/>
            <w:hideMark/>
          </w:tcPr>
          <w:p w14:paraId="271E59B5" w14:textId="77777777" w:rsidR="0002316A" w:rsidRPr="00C66BD5" w:rsidRDefault="0002316A" w:rsidP="005F3681">
            <w:pPr>
              <w:jc w:val="center"/>
              <w:rPr>
                <w:rFonts w:ascii="Arial" w:eastAsia="Times New Roman" w:hAnsi="Arial" w:cs="Arial"/>
                <w:color w:val="000000"/>
                <w:sz w:val="22"/>
                <w:szCs w:val="22"/>
                <w:lang w:val="en-GB"/>
              </w:rPr>
            </w:pPr>
          </w:p>
        </w:tc>
        <w:tc>
          <w:tcPr>
            <w:tcW w:w="1256" w:type="dxa"/>
            <w:gridSpan w:val="2"/>
            <w:tcBorders>
              <w:top w:val="nil"/>
              <w:left w:val="nil"/>
              <w:bottom w:val="nil"/>
              <w:right w:val="nil"/>
            </w:tcBorders>
            <w:shd w:val="clear" w:color="auto" w:fill="auto"/>
            <w:noWrap/>
            <w:vAlign w:val="bottom"/>
            <w:hideMark/>
          </w:tcPr>
          <w:p w14:paraId="52643DCD"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7</w:t>
            </w:r>
          </w:p>
        </w:tc>
        <w:tc>
          <w:tcPr>
            <w:tcW w:w="3376" w:type="dxa"/>
            <w:gridSpan w:val="2"/>
            <w:tcBorders>
              <w:top w:val="nil"/>
              <w:left w:val="nil"/>
              <w:bottom w:val="nil"/>
              <w:right w:val="nil"/>
            </w:tcBorders>
            <w:shd w:val="clear" w:color="auto" w:fill="auto"/>
            <w:noWrap/>
            <w:vAlign w:val="bottom"/>
            <w:hideMark/>
          </w:tcPr>
          <w:p w14:paraId="6AA3AFE2"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transversetemporal</w:t>
            </w:r>
          </w:p>
        </w:tc>
        <w:tc>
          <w:tcPr>
            <w:tcW w:w="815" w:type="dxa"/>
            <w:gridSpan w:val="2"/>
            <w:tcBorders>
              <w:top w:val="nil"/>
              <w:left w:val="nil"/>
              <w:bottom w:val="nil"/>
              <w:right w:val="nil"/>
            </w:tcBorders>
            <w:shd w:val="clear" w:color="auto" w:fill="auto"/>
            <w:noWrap/>
            <w:hideMark/>
          </w:tcPr>
          <w:p w14:paraId="249F617F"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R</w:t>
            </w:r>
          </w:p>
        </w:tc>
        <w:tc>
          <w:tcPr>
            <w:tcW w:w="1377" w:type="dxa"/>
            <w:gridSpan w:val="2"/>
            <w:tcBorders>
              <w:top w:val="nil"/>
              <w:left w:val="nil"/>
              <w:bottom w:val="nil"/>
              <w:right w:val="nil"/>
            </w:tcBorders>
            <w:shd w:val="clear" w:color="auto" w:fill="auto"/>
            <w:noWrap/>
            <w:hideMark/>
          </w:tcPr>
          <w:p w14:paraId="116C0A4C" w14:textId="77777777" w:rsidR="0002316A" w:rsidRPr="00C66BD5" w:rsidRDefault="0002316A" w:rsidP="005F3681">
            <w:pPr>
              <w:jc w:val="center"/>
              <w:rPr>
                <w:rFonts w:ascii="Arial" w:eastAsia="Times New Roman" w:hAnsi="Arial" w:cs="Arial"/>
                <w:color w:val="000000"/>
                <w:sz w:val="22"/>
                <w:szCs w:val="22"/>
                <w:lang w:val="en-GB"/>
              </w:rPr>
            </w:pPr>
            <w:r>
              <w:rPr>
                <w:rFonts w:ascii="Arial" w:eastAsia="Times New Roman" w:hAnsi="Arial" w:cs="Arial"/>
                <w:color w:val="000000"/>
                <w:sz w:val="22"/>
                <w:szCs w:val="22"/>
                <w:lang w:val="en-GB"/>
              </w:rPr>
              <w:t>22</w:t>
            </w:r>
          </w:p>
        </w:tc>
        <w:tc>
          <w:tcPr>
            <w:tcW w:w="1956" w:type="dxa"/>
            <w:gridSpan w:val="4"/>
            <w:tcBorders>
              <w:top w:val="nil"/>
              <w:left w:val="nil"/>
              <w:bottom w:val="nil"/>
              <w:right w:val="nil"/>
            </w:tcBorders>
            <w:shd w:val="clear" w:color="auto" w:fill="auto"/>
            <w:noWrap/>
            <w:vAlign w:val="bottom"/>
            <w:hideMark/>
          </w:tcPr>
          <w:p w14:paraId="78D3D22F"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314</w:t>
            </w:r>
          </w:p>
        </w:tc>
        <w:tc>
          <w:tcPr>
            <w:tcW w:w="915" w:type="dxa"/>
            <w:gridSpan w:val="2"/>
            <w:tcBorders>
              <w:top w:val="nil"/>
              <w:left w:val="nil"/>
              <w:bottom w:val="nil"/>
              <w:right w:val="nil"/>
            </w:tcBorders>
            <w:shd w:val="clear" w:color="auto" w:fill="auto"/>
            <w:noWrap/>
            <w:vAlign w:val="bottom"/>
            <w:hideMark/>
          </w:tcPr>
          <w:p w14:paraId="71334756"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45.1</w:t>
            </w:r>
          </w:p>
        </w:tc>
        <w:tc>
          <w:tcPr>
            <w:tcW w:w="915" w:type="dxa"/>
            <w:gridSpan w:val="2"/>
            <w:tcBorders>
              <w:top w:val="nil"/>
              <w:left w:val="nil"/>
              <w:bottom w:val="nil"/>
              <w:right w:val="nil"/>
            </w:tcBorders>
            <w:shd w:val="clear" w:color="auto" w:fill="auto"/>
            <w:noWrap/>
            <w:vAlign w:val="bottom"/>
            <w:hideMark/>
          </w:tcPr>
          <w:p w14:paraId="5744AE98"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-19.6</w:t>
            </w:r>
          </w:p>
        </w:tc>
        <w:tc>
          <w:tcPr>
            <w:tcW w:w="915" w:type="dxa"/>
            <w:gridSpan w:val="2"/>
            <w:tcBorders>
              <w:top w:val="nil"/>
              <w:left w:val="nil"/>
              <w:bottom w:val="nil"/>
              <w:right w:val="nil"/>
            </w:tcBorders>
            <w:shd w:val="clear" w:color="auto" w:fill="auto"/>
            <w:noWrap/>
            <w:vAlign w:val="bottom"/>
            <w:hideMark/>
          </w:tcPr>
          <w:p w14:paraId="00EADCE8"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3.8</w:t>
            </w:r>
          </w:p>
        </w:tc>
        <w:tc>
          <w:tcPr>
            <w:tcW w:w="1126" w:type="dxa"/>
            <w:tcBorders>
              <w:top w:val="nil"/>
              <w:left w:val="nil"/>
              <w:bottom w:val="nil"/>
              <w:right w:val="nil"/>
            </w:tcBorders>
            <w:shd w:val="clear" w:color="auto" w:fill="auto"/>
            <w:noWrap/>
            <w:vAlign w:val="bottom"/>
            <w:hideMark/>
          </w:tcPr>
          <w:p w14:paraId="4D296208"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-2.616</w:t>
            </w:r>
          </w:p>
        </w:tc>
      </w:tr>
      <w:tr w:rsidR="0002316A" w:rsidRPr="00C66BD5" w14:paraId="5A0B30FA" w14:textId="77777777" w:rsidTr="005F3681">
        <w:trPr>
          <w:trHeight w:val="300"/>
        </w:trPr>
        <w:tc>
          <w:tcPr>
            <w:tcW w:w="1829" w:type="dxa"/>
            <w:gridSpan w:val="2"/>
            <w:tcBorders>
              <w:top w:val="nil"/>
              <w:left w:val="nil"/>
              <w:bottom w:val="nil"/>
              <w:right w:val="nil"/>
            </w:tcBorders>
            <w:shd w:val="clear" w:color="auto" w:fill="auto"/>
            <w:noWrap/>
            <w:hideMark/>
          </w:tcPr>
          <w:p w14:paraId="4964A22C" w14:textId="77777777" w:rsidR="0002316A" w:rsidRPr="00C66BD5" w:rsidRDefault="0002316A" w:rsidP="005F3681">
            <w:pPr>
              <w:jc w:val="center"/>
              <w:rPr>
                <w:rFonts w:ascii="Arial" w:eastAsia="Times New Roman" w:hAnsi="Arial" w:cs="Arial"/>
                <w:color w:val="000000"/>
                <w:sz w:val="22"/>
                <w:szCs w:val="22"/>
                <w:lang w:val="en-GB"/>
              </w:rPr>
            </w:pPr>
          </w:p>
        </w:tc>
        <w:tc>
          <w:tcPr>
            <w:tcW w:w="1256" w:type="dxa"/>
            <w:gridSpan w:val="2"/>
            <w:tcBorders>
              <w:top w:val="nil"/>
              <w:left w:val="nil"/>
              <w:bottom w:val="nil"/>
              <w:right w:val="nil"/>
            </w:tcBorders>
            <w:shd w:val="clear" w:color="auto" w:fill="auto"/>
            <w:noWrap/>
            <w:vAlign w:val="bottom"/>
            <w:hideMark/>
          </w:tcPr>
          <w:p w14:paraId="34AE55F1"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8</w:t>
            </w:r>
          </w:p>
        </w:tc>
        <w:tc>
          <w:tcPr>
            <w:tcW w:w="3376" w:type="dxa"/>
            <w:gridSpan w:val="2"/>
            <w:tcBorders>
              <w:top w:val="nil"/>
              <w:left w:val="nil"/>
              <w:bottom w:val="nil"/>
              <w:right w:val="nil"/>
            </w:tcBorders>
            <w:shd w:val="clear" w:color="auto" w:fill="auto"/>
            <w:noWrap/>
            <w:vAlign w:val="bottom"/>
            <w:hideMark/>
          </w:tcPr>
          <w:p w14:paraId="1F23BDDE"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parahippocampal</w:t>
            </w:r>
          </w:p>
        </w:tc>
        <w:tc>
          <w:tcPr>
            <w:tcW w:w="815" w:type="dxa"/>
            <w:gridSpan w:val="2"/>
            <w:tcBorders>
              <w:top w:val="nil"/>
              <w:left w:val="nil"/>
              <w:bottom w:val="nil"/>
              <w:right w:val="nil"/>
            </w:tcBorders>
            <w:shd w:val="clear" w:color="auto" w:fill="auto"/>
            <w:noWrap/>
            <w:hideMark/>
          </w:tcPr>
          <w:p w14:paraId="3937B3C8"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R</w:t>
            </w:r>
          </w:p>
        </w:tc>
        <w:tc>
          <w:tcPr>
            <w:tcW w:w="1377" w:type="dxa"/>
            <w:gridSpan w:val="2"/>
            <w:tcBorders>
              <w:top w:val="nil"/>
              <w:left w:val="nil"/>
              <w:bottom w:val="nil"/>
              <w:right w:val="nil"/>
            </w:tcBorders>
            <w:shd w:val="clear" w:color="auto" w:fill="auto"/>
            <w:noWrap/>
            <w:hideMark/>
          </w:tcPr>
          <w:p w14:paraId="28F8DA19" w14:textId="77777777" w:rsidR="0002316A" w:rsidRPr="00C66BD5" w:rsidRDefault="0002316A" w:rsidP="005F3681">
            <w:pPr>
              <w:jc w:val="center"/>
              <w:rPr>
                <w:rFonts w:ascii="Arial" w:eastAsia="Times New Roman" w:hAnsi="Arial" w:cs="Arial"/>
                <w:color w:val="000000"/>
                <w:sz w:val="22"/>
                <w:szCs w:val="22"/>
                <w:lang w:val="en-GB"/>
              </w:rPr>
            </w:pPr>
            <w:r>
              <w:rPr>
                <w:rFonts w:ascii="Arial" w:eastAsia="Times New Roman" w:hAnsi="Arial" w:cs="Arial"/>
                <w:color w:val="000000"/>
                <w:sz w:val="22"/>
                <w:szCs w:val="22"/>
                <w:lang w:val="en-GB"/>
              </w:rPr>
              <w:t>35</w:t>
            </w:r>
          </w:p>
        </w:tc>
        <w:tc>
          <w:tcPr>
            <w:tcW w:w="1956" w:type="dxa"/>
            <w:gridSpan w:val="4"/>
            <w:tcBorders>
              <w:top w:val="nil"/>
              <w:left w:val="nil"/>
              <w:bottom w:val="nil"/>
              <w:right w:val="nil"/>
            </w:tcBorders>
            <w:shd w:val="clear" w:color="auto" w:fill="auto"/>
            <w:noWrap/>
            <w:vAlign w:val="bottom"/>
            <w:hideMark/>
          </w:tcPr>
          <w:p w14:paraId="6DD3ADC5"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231</w:t>
            </w:r>
          </w:p>
        </w:tc>
        <w:tc>
          <w:tcPr>
            <w:tcW w:w="915" w:type="dxa"/>
            <w:gridSpan w:val="2"/>
            <w:tcBorders>
              <w:top w:val="nil"/>
              <w:left w:val="nil"/>
              <w:bottom w:val="nil"/>
              <w:right w:val="nil"/>
            </w:tcBorders>
            <w:shd w:val="clear" w:color="auto" w:fill="auto"/>
            <w:noWrap/>
            <w:vAlign w:val="bottom"/>
            <w:hideMark/>
          </w:tcPr>
          <w:p w14:paraId="6CBE63B6"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30.6</w:t>
            </w:r>
          </w:p>
        </w:tc>
        <w:tc>
          <w:tcPr>
            <w:tcW w:w="915" w:type="dxa"/>
            <w:gridSpan w:val="2"/>
            <w:tcBorders>
              <w:top w:val="nil"/>
              <w:left w:val="nil"/>
              <w:bottom w:val="nil"/>
              <w:right w:val="nil"/>
            </w:tcBorders>
            <w:shd w:val="clear" w:color="auto" w:fill="auto"/>
            <w:noWrap/>
            <w:vAlign w:val="bottom"/>
            <w:hideMark/>
          </w:tcPr>
          <w:p w14:paraId="5F0434C7"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-26.5</w:t>
            </w:r>
          </w:p>
        </w:tc>
        <w:tc>
          <w:tcPr>
            <w:tcW w:w="915" w:type="dxa"/>
            <w:gridSpan w:val="2"/>
            <w:tcBorders>
              <w:top w:val="nil"/>
              <w:left w:val="nil"/>
              <w:bottom w:val="nil"/>
              <w:right w:val="nil"/>
            </w:tcBorders>
            <w:shd w:val="clear" w:color="auto" w:fill="auto"/>
            <w:noWrap/>
            <w:vAlign w:val="bottom"/>
            <w:hideMark/>
          </w:tcPr>
          <w:p w14:paraId="3F699348"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-16.6</w:t>
            </w:r>
          </w:p>
        </w:tc>
        <w:tc>
          <w:tcPr>
            <w:tcW w:w="1126" w:type="dxa"/>
            <w:tcBorders>
              <w:top w:val="nil"/>
              <w:left w:val="nil"/>
              <w:bottom w:val="nil"/>
              <w:right w:val="nil"/>
            </w:tcBorders>
            <w:shd w:val="clear" w:color="auto" w:fill="auto"/>
            <w:noWrap/>
            <w:vAlign w:val="bottom"/>
            <w:hideMark/>
          </w:tcPr>
          <w:p w14:paraId="5043F497"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2.526</w:t>
            </w:r>
          </w:p>
        </w:tc>
      </w:tr>
      <w:tr w:rsidR="0002316A" w:rsidRPr="00C66BD5" w14:paraId="03C1C04B" w14:textId="77777777" w:rsidTr="005F3681">
        <w:trPr>
          <w:trHeight w:val="333"/>
        </w:trPr>
        <w:tc>
          <w:tcPr>
            <w:tcW w:w="1829" w:type="dxa"/>
            <w:gridSpan w:val="2"/>
            <w:tcBorders>
              <w:top w:val="nil"/>
              <w:left w:val="nil"/>
              <w:bottom w:val="nil"/>
              <w:right w:val="nil"/>
            </w:tcBorders>
            <w:shd w:val="clear" w:color="auto" w:fill="auto"/>
            <w:noWrap/>
            <w:hideMark/>
          </w:tcPr>
          <w:p w14:paraId="7A62C4C7" w14:textId="77777777" w:rsidR="0002316A" w:rsidRPr="00C66BD5" w:rsidRDefault="0002316A" w:rsidP="005F3681">
            <w:pPr>
              <w:jc w:val="center"/>
              <w:rPr>
                <w:rFonts w:ascii="Arial" w:eastAsia="Times New Roman" w:hAnsi="Arial" w:cs="Arial"/>
                <w:color w:val="000000"/>
                <w:sz w:val="22"/>
                <w:szCs w:val="22"/>
                <w:lang w:val="en-GB"/>
              </w:rPr>
            </w:pPr>
          </w:p>
        </w:tc>
        <w:tc>
          <w:tcPr>
            <w:tcW w:w="1256" w:type="dxa"/>
            <w:gridSpan w:val="2"/>
            <w:tcBorders>
              <w:top w:val="nil"/>
              <w:left w:val="nil"/>
              <w:bottom w:val="nil"/>
              <w:right w:val="nil"/>
            </w:tcBorders>
            <w:shd w:val="clear" w:color="auto" w:fill="auto"/>
            <w:noWrap/>
            <w:vAlign w:val="bottom"/>
            <w:hideMark/>
          </w:tcPr>
          <w:p w14:paraId="3A23FDF4"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9</w:t>
            </w:r>
          </w:p>
        </w:tc>
        <w:tc>
          <w:tcPr>
            <w:tcW w:w="3376" w:type="dxa"/>
            <w:gridSpan w:val="2"/>
            <w:tcBorders>
              <w:top w:val="nil"/>
              <w:left w:val="nil"/>
              <w:bottom w:val="nil"/>
              <w:right w:val="nil"/>
            </w:tcBorders>
            <w:shd w:val="clear" w:color="auto" w:fill="auto"/>
            <w:noWrap/>
            <w:vAlign w:val="bottom"/>
            <w:hideMark/>
          </w:tcPr>
          <w:p w14:paraId="11D256A1"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supramarginal</w:t>
            </w:r>
          </w:p>
        </w:tc>
        <w:tc>
          <w:tcPr>
            <w:tcW w:w="815" w:type="dxa"/>
            <w:gridSpan w:val="2"/>
            <w:tcBorders>
              <w:top w:val="nil"/>
              <w:left w:val="nil"/>
              <w:bottom w:val="nil"/>
              <w:right w:val="nil"/>
            </w:tcBorders>
            <w:shd w:val="clear" w:color="auto" w:fill="auto"/>
            <w:noWrap/>
            <w:hideMark/>
          </w:tcPr>
          <w:p w14:paraId="4D5221EC"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R</w:t>
            </w:r>
          </w:p>
        </w:tc>
        <w:tc>
          <w:tcPr>
            <w:tcW w:w="1377" w:type="dxa"/>
            <w:gridSpan w:val="2"/>
            <w:tcBorders>
              <w:top w:val="nil"/>
              <w:left w:val="nil"/>
              <w:bottom w:val="nil"/>
              <w:right w:val="nil"/>
            </w:tcBorders>
            <w:shd w:val="clear" w:color="auto" w:fill="auto"/>
            <w:noWrap/>
            <w:hideMark/>
          </w:tcPr>
          <w:p w14:paraId="62EC46DB" w14:textId="77777777" w:rsidR="0002316A" w:rsidRPr="00C66BD5" w:rsidRDefault="0002316A" w:rsidP="005F3681">
            <w:pPr>
              <w:jc w:val="center"/>
              <w:rPr>
                <w:rFonts w:ascii="Arial" w:eastAsia="Times New Roman" w:hAnsi="Arial" w:cs="Arial"/>
                <w:color w:val="000000"/>
                <w:sz w:val="22"/>
                <w:szCs w:val="22"/>
                <w:lang w:val="en-GB"/>
              </w:rPr>
            </w:pPr>
            <w:r>
              <w:rPr>
                <w:rFonts w:ascii="Arial" w:eastAsia="Times New Roman" w:hAnsi="Arial" w:cs="Arial"/>
                <w:color w:val="000000"/>
                <w:sz w:val="22"/>
                <w:szCs w:val="22"/>
                <w:lang w:val="en-GB"/>
              </w:rPr>
              <w:t>40</w:t>
            </w:r>
          </w:p>
        </w:tc>
        <w:tc>
          <w:tcPr>
            <w:tcW w:w="1956" w:type="dxa"/>
            <w:gridSpan w:val="4"/>
            <w:tcBorders>
              <w:top w:val="nil"/>
              <w:left w:val="nil"/>
              <w:bottom w:val="nil"/>
              <w:right w:val="nil"/>
            </w:tcBorders>
            <w:shd w:val="clear" w:color="auto" w:fill="auto"/>
            <w:noWrap/>
            <w:vAlign w:val="bottom"/>
            <w:hideMark/>
          </w:tcPr>
          <w:p w14:paraId="1D671D85"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218</w:t>
            </w:r>
          </w:p>
        </w:tc>
        <w:tc>
          <w:tcPr>
            <w:tcW w:w="915" w:type="dxa"/>
            <w:gridSpan w:val="2"/>
            <w:tcBorders>
              <w:top w:val="nil"/>
              <w:left w:val="nil"/>
              <w:bottom w:val="nil"/>
              <w:right w:val="nil"/>
            </w:tcBorders>
            <w:shd w:val="clear" w:color="auto" w:fill="auto"/>
            <w:noWrap/>
            <w:vAlign w:val="bottom"/>
            <w:hideMark/>
          </w:tcPr>
          <w:p w14:paraId="17E4489E"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54.4</w:t>
            </w:r>
          </w:p>
        </w:tc>
        <w:tc>
          <w:tcPr>
            <w:tcW w:w="915" w:type="dxa"/>
            <w:gridSpan w:val="2"/>
            <w:tcBorders>
              <w:top w:val="nil"/>
              <w:left w:val="nil"/>
              <w:bottom w:val="nil"/>
              <w:right w:val="nil"/>
            </w:tcBorders>
            <w:shd w:val="clear" w:color="auto" w:fill="auto"/>
            <w:noWrap/>
            <w:vAlign w:val="bottom"/>
            <w:hideMark/>
          </w:tcPr>
          <w:p w14:paraId="2BC28BF3"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-37.1</w:t>
            </w:r>
          </w:p>
        </w:tc>
        <w:tc>
          <w:tcPr>
            <w:tcW w:w="915" w:type="dxa"/>
            <w:gridSpan w:val="2"/>
            <w:tcBorders>
              <w:top w:val="nil"/>
              <w:left w:val="nil"/>
              <w:bottom w:val="nil"/>
              <w:right w:val="nil"/>
            </w:tcBorders>
            <w:shd w:val="clear" w:color="auto" w:fill="auto"/>
            <w:noWrap/>
            <w:vAlign w:val="bottom"/>
            <w:hideMark/>
          </w:tcPr>
          <w:p w14:paraId="617FA5BE"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37.4</w:t>
            </w:r>
          </w:p>
        </w:tc>
        <w:tc>
          <w:tcPr>
            <w:tcW w:w="1126" w:type="dxa"/>
            <w:tcBorders>
              <w:top w:val="nil"/>
              <w:left w:val="nil"/>
              <w:bottom w:val="nil"/>
              <w:right w:val="nil"/>
            </w:tcBorders>
            <w:shd w:val="clear" w:color="auto" w:fill="auto"/>
            <w:noWrap/>
            <w:vAlign w:val="bottom"/>
            <w:hideMark/>
          </w:tcPr>
          <w:p w14:paraId="79065A43"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-2.568</w:t>
            </w:r>
          </w:p>
        </w:tc>
      </w:tr>
      <w:tr w:rsidR="0002316A" w:rsidRPr="00C66BD5" w14:paraId="181CBF84" w14:textId="77777777" w:rsidTr="005F3681">
        <w:trPr>
          <w:trHeight w:val="300"/>
        </w:trPr>
        <w:tc>
          <w:tcPr>
            <w:tcW w:w="1829" w:type="dxa"/>
            <w:gridSpan w:val="2"/>
            <w:tcBorders>
              <w:top w:val="nil"/>
              <w:left w:val="nil"/>
              <w:bottom w:val="nil"/>
              <w:right w:val="nil"/>
            </w:tcBorders>
            <w:shd w:val="clear" w:color="auto" w:fill="auto"/>
            <w:noWrap/>
            <w:vAlign w:val="bottom"/>
            <w:hideMark/>
          </w:tcPr>
          <w:p w14:paraId="3AFAABC7" w14:textId="77777777" w:rsidR="0002316A" w:rsidRPr="00C66BD5" w:rsidRDefault="0002316A" w:rsidP="005F3681">
            <w:pPr>
              <w:rPr>
                <w:rFonts w:ascii="Arial" w:eastAsia="Times New Roman" w:hAnsi="Arial" w:cs="Arial"/>
                <w:color w:val="000000"/>
                <w:sz w:val="22"/>
                <w:szCs w:val="22"/>
                <w:lang w:val="en-GB"/>
              </w:rPr>
            </w:pPr>
          </w:p>
        </w:tc>
        <w:tc>
          <w:tcPr>
            <w:tcW w:w="1256" w:type="dxa"/>
            <w:gridSpan w:val="2"/>
            <w:tcBorders>
              <w:top w:val="nil"/>
              <w:left w:val="nil"/>
              <w:bottom w:val="nil"/>
              <w:right w:val="nil"/>
            </w:tcBorders>
            <w:shd w:val="clear" w:color="auto" w:fill="auto"/>
            <w:noWrap/>
            <w:vAlign w:val="bottom"/>
            <w:hideMark/>
          </w:tcPr>
          <w:p w14:paraId="3D9CC36A"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10</w:t>
            </w:r>
          </w:p>
        </w:tc>
        <w:tc>
          <w:tcPr>
            <w:tcW w:w="3376" w:type="dxa"/>
            <w:gridSpan w:val="2"/>
            <w:tcBorders>
              <w:top w:val="nil"/>
              <w:left w:val="nil"/>
              <w:bottom w:val="nil"/>
              <w:right w:val="nil"/>
            </w:tcBorders>
            <w:shd w:val="clear" w:color="auto" w:fill="auto"/>
            <w:noWrap/>
            <w:vAlign w:val="bottom"/>
            <w:hideMark/>
          </w:tcPr>
          <w:p w14:paraId="42019658"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precentral</w:t>
            </w:r>
          </w:p>
        </w:tc>
        <w:tc>
          <w:tcPr>
            <w:tcW w:w="815" w:type="dxa"/>
            <w:gridSpan w:val="2"/>
            <w:tcBorders>
              <w:top w:val="nil"/>
              <w:left w:val="nil"/>
              <w:bottom w:val="nil"/>
              <w:right w:val="nil"/>
            </w:tcBorders>
            <w:shd w:val="clear" w:color="auto" w:fill="auto"/>
            <w:noWrap/>
            <w:hideMark/>
          </w:tcPr>
          <w:p w14:paraId="51F189D4"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R</w:t>
            </w:r>
          </w:p>
        </w:tc>
        <w:tc>
          <w:tcPr>
            <w:tcW w:w="1377" w:type="dxa"/>
            <w:gridSpan w:val="2"/>
            <w:tcBorders>
              <w:top w:val="nil"/>
              <w:left w:val="nil"/>
              <w:bottom w:val="nil"/>
              <w:right w:val="nil"/>
            </w:tcBorders>
            <w:shd w:val="clear" w:color="auto" w:fill="auto"/>
            <w:noWrap/>
            <w:hideMark/>
          </w:tcPr>
          <w:p w14:paraId="3A417E61" w14:textId="77777777" w:rsidR="0002316A" w:rsidRPr="00C66BD5" w:rsidRDefault="0002316A" w:rsidP="005F3681">
            <w:pPr>
              <w:jc w:val="center"/>
              <w:rPr>
                <w:rFonts w:ascii="Arial" w:eastAsia="Times New Roman" w:hAnsi="Arial" w:cs="Arial"/>
                <w:color w:val="000000"/>
                <w:sz w:val="22"/>
                <w:szCs w:val="22"/>
                <w:lang w:val="en-GB"/>
              </w:rPr>
            </w:pPr>
            <w:r>
              <w:rPr>
                <w:rFonts w:ascii="Arial" w:eastAsia="Times New Roman" w:hAnsi="Arial" w:cs="Arial"/>
                <w:color w:val="000000"/>
                <w:sz w:val="22"/>
                <w:szCs w:val="22"/>
                <w:lang w:val="en-GB"/>
              </w:rPr>
              <w:t>44</w:t>
            </w:r>
          </w:p>
        </w:tc>
        <w:tc>
          <w:tcPr>
            <w:tcW w:w="1956" w:type="dxa"/>
            <w:gridSpan w:val="4"/>
            <w:tcBorders>
              <w:top w:val="nil"/>
              <w:left w:val="nil"/>
              <w:bottom w:val="nil"/>
              <w:right w:val="nil"/>
            </w:tcBorders>
            <w:shd w:val="clear" w:color="auto" w:fill="auto"/>
            <w:noWrap/>
            <w:vAlign w:val="bottom"/>
            <w:hideMark/>
          </w:tcPr>
          <w:p w14:paraId="7D9A2C72"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258</w:t>
            </w:r>
          </w:p>
        </w:tc>
        <w:tc>
          <w:tcPr>
            <w:tcW w:w="915" w:type="dxa"/>
            <w:gridSpan w:val="2"/>
            <w:tcBorders>
              <w:top w:val="nil"/>
              <w:left w:val="nil"/>
              <w:bottom w:val="nil"/>
              <w:right w:val="nil"/>
            </w:tcBorders>
            <w:shd w:val="clear" w:color="auto" w:fill="auto"/>
            <w:noWrap/>
            <w:vAlign w:val="bottom"/>
            <w:hideMark/>
          </w:tcPr>
          <w:p w14:paraId="1EA8101F"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59.4</w:t>
            </w:r>
          </w:p>
        </w:tc>
        <w:tc>
          <w:tcPr>
            <w:tcW w:w="915" w:type="dxa"/>
            <w:gridSpan w:val="2"/>
            <w:tcBorders>
              <w:top w:val="nil"/>
              <w:left w:val="nil"/>
              <w:bottom w:val="nil"/>
              <w:right w:val="nil"/>
            </w:tcBorders>
            <w:shd w:val="clear" w:color="auto" w:fill="auto"/>
            <w:noWrap/>
            <w:vAlign w:val="bottom"/>
            <w:hideMark/>
          </w:tcPr>
          <w:p w14:paraId="307F2EBC"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5</w:t>
            </w:r>
          </w:p>
        </w:tc>
        <w:tc>
          <w:tcPr>
            <w:tcW w:w="915" w:type="dxa"/>
            <w:gridSpan w:val="2"/>
            <w:tcBorders>
              <w:top w:val="nil"/>
              <w:left w:val="nil"/>
              <w:bottom w:val="nil"/>
              <w:right w:val="nil"/>
            </w:tcBorders>
            <w:shd w:val="clear" w:color="auto" w:fill="auto"/>
            <w:noWrap/>
            <w:vAlign w:val="bottom"/>
            <w:hideMark/>
          </w:tcPr>
          <w:p w14:paraId="1A30A1FD"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19.1</w:t>
            </w:r>
          </w:p>
        </w:tc>
        <w:tc>
          <w:tcPr>
            <w:tcW w:w="1126" w:type="dxa"/>
            <w:tcBorders>
              <w:top w:val="nil"/>
              <w:left w:val="nil"/>
              <w:bottom w:val="nil"/>
              <w:right w:val="nil"/>
            </w:tcBorders>
            <w:shd w:val="clear" w:color="auto" w:fill="auto"/>
            <w:noWrap/>
            <w:vAlign w:val="bottom"/>
            <w:hideMark/>
          </w:tcPr>
          <w:p w14:paraId="56C32985"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-2.822</w:t>
            </w:r>
          </w:p>
        </w:tc>
      </w:tr>
      <w:tr w:rsidR="0002316A" w:rsidRPr="00C66BD5" w14:paraId="2A34A5B9" w14:textId="77777777" w:rsidTr="005F3681">
        <w:trPr>
          <w:trHeight w:val="300"/>
        </w:trPr>
        <w:tc>
          <w:tcPr>
            <w:tcW w:w="1829" w:type="dxa"/>
            <w:gridSpan w:val="2"/>
            <w:tcBorders>
              <w:top w:val="nil"/>
              <w:left w:val="nil"/>
              <w:bottom w:val="nil"/>
              <w:right w:val="nil"/>
            </w:tcBorders>
            <w:shd w:val="clear" w:color="auto" w:fill="auto"/>
            <w:noWrap/>
            <w:hideMark/>
          </w:tcPr>
          <w:p w14:paraId="21EBE985" w14:textId="77777777" w:rsidR="0002316A" w:rsidRPr="00C66BD5" w:rsidRDefault="0002316A" w:rsidP="005F3681">
            <w:pPr>
              <w:rPr>
                <w:rFonts w:ascii="Arial" w:eastAsia="Times New Roman" w:hAnsi="Arial" w:cs="Arial"/>
                <w:color w:val="000000"/>
                <w:sz w:val="22"/>
                <w:szCs w:val="22"/>
                <w:lang w:val="en-GB"/>
              </w:rPr>
            </w:pPr>
          </w:p>
        </w:tc>
        <w:tc>
          <w:tcPr>
            <w:tcW w:w="1256" w:type="dxa"/>
            <w:gridSpan w:val="2"/>
            <w:tcBorders>
              <w:top w:val="nil"/>
              <w:left w:val="nil"/>
              <w:bottom w:val="nil"/>
              <w:right w:val="nil"/>
            </w:tcBorders>
            <w:shd w:val="clear" w:color="auto" w:fill="auto"/>
            <w:noWrap/>
            <w:vAlign w:val="bottom"/>
            <w:hideMark/>
          </w:tcPr>
          <w:p w14:paraId="726A607D"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11</w:t>
            </w:r>
          </w:p>
        </w:tc>
        <w:tc>
          <w:tcPr>
            <w:tcW w:w="3376" w:type="dxa"/>
            <w:gridSpan w:val="2"/>
            <w:tcBorders>
              <w:top w:val="nil"/>
              <w:left w:val="nil"/>
              <w:bottom w:val="nil"/>
              <w:right w:val="nil"/>
            </w:tcBorders>
            <w:shd w:val="clear" w:color="auto" w:fill="auto"/>
            <w:noWrap/>
            <w:vAlign w:val="bottom"/>
            <w:hideMark/>
          </w:tcPr>
          <w:p w14:paraId="76049F0E"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superiorfrontal</w:t>
            </w:r>
          </w:p>
        </w:tc>
        <w:tc>
          <w:tcPr>
            <w:tcW w:w="815" w:type="dxa"/>
            <w:gridSpan w:val="2"/>
            <w:tcBorders>
              <w:top w:val="nil"/>
              <w:left w:val="nil"/>
              <w:bottom w:val="nil"/>
              <w:right w:val="nil"/>
            </w:tcBorders>
            <w:shd w:val="clear" w:color="auto" w:fill="auto"/>
            <w:noWrap/>
            <w:hideMark/>
          </w:tcPr>
          <w:p w14:paraId="2A56E1D6"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R</w:t>
            </w:r>
          </w:p>
        </w:tc>
        <w:tc>
          <w:tcPr>
            <w:tcW w:w="1377" w:type="dxa"/>
            <w:gridSpan w:val="2"/>
            <w:tcBorders>
              <w:top w:val="nil"/>
              <w:left w:val="nil"/>
              <w:bottom w:val="nil"/>
              <w:right w:val="nil"/>
            </w:tcBorders>
            <w:shd w:val="clear" w:color="auto" w:fill="auto"/>
            <w:noWrap/>
            <w:hideMark/>
          </w:tcPr>
          <w:p w14:paraId="62228B0F" w14:textId="77777777" w:rsidR="0002316A" w:rsidRPr="00C66BD5" w:rsidRDefault="0002316A" w:rsidP="005F3681">
            <w:pPr>
              <w:jc w:val="center"/>
              <w:rPr>
                <w:rFonts w:ascii="Arial" w:eastAsia="Times New Roman" w:hAnsi="Arial" w:cs="Arial"/>
                <w:color w:val="000000"/>
                <w:sz w:val="22"/>
                <w:szCs w:val="22"/>
                <w:lang w:val="en-GB"/>
              </w:rPr>
            </w:pPr>
            <w:r>
              <w:rPr>
                <w:rFonts w:ascii="Arial" w:eastAsia="Times New Roman" w:hAnsi="Arial" w:cs="Arial"/>
                <w:color w:val="000000"/>
                <w:sz w:val="22"/>
                <w:szCs w:val="22"/>
                <w:lang w:val="en-GB"/>
              </w:rPr>
              <w:t>8</w:t>
            </w:r>
          </w:p>
        </w:tc>
        <w:tc>
          <w:tcPr>
            <w:tcW w:w="1956" w:type="dxa"/>
            <w:gridSpan w:val="4"/>
            <w:tcBorders>
              <w:top w:val="nil"/>
              <w:left w:val="nil"/>
              <w:bottom w:val="nil"/>
              <w:right w:val="nil"/>
            </w:tcBorders>
            <w:shd w:val="clear" w:color="auto" w:fill="auto"/>
            <w:noWrap/>
            <w:vAlign w:val="bottom"/>
            <w:hideMark/>
          </w:tcPr>
          <w:p w14:paraId="623DA0C1"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218</w:t>
            </w:r>
          </w:p>
        </w:tc>
        <w:tc>
          <w:tcPr>
            <w:tcW w:w="915" w:type="dxa"/>
            <w:gridSpan w:val="2"/>
            <w:tcBorders>
              <w:top w:val="nil"/>
              <w:left w:val="nil"/>
              <w:bottom w:val="nil"/>
              <w:right w:val="nil"/>
            </w:tcBorders>
            <w:shd w:val="clear" w:color="auto" w:fill="auto"/>
            <w:noWrap/>
            <w:vAlign w:val="bottom"/>
            <w:hideMark/>
          </w:tcPr>
          <w:p w14:paraId="714CF1F0"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9.5</w:t>
            </w:r>
          </w:p>
        </w:tc>
        <w:tc>
          <w:tcPr>
            <w:tcW w:w="915" w:type="dxa"/>
            <w:gridSpan w:val="2"/>
            <w:tcBorders>
              <w:top w:val="nil"/>
              <w:left w:val="nil"/>
              <w:bottom w:val="nil"/>
              <w:right w:val="nil"/>
            </w:tcBorders>
            <w:shd w:val="clear" w:color="auto" w:fill="auto"/>
            <w:noWrap/>
            <w:vAlign w:val="bottom"/>
            <w:hideMark/>
          </w:tcPr>
          <w:p w14:paraId="2FEA7E9F"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16.7</w:t>
            </w:r>
          </w:p>
        </w:tc>
        <w:tc>
          <w:tcPr>
            <w:tcW w:w="915" w:type="dxa"/>
            <w:gridSpan w:val="2"/>
            <w:tcBorders>
              <w:top w:val="nil"/>
              <w:left w:val="nil"/>
              <w:bottom w:val="nil"/>
              <w:right w:val="nil"/>
            </w:tcBorders>
            <w:shd w:val="clear" w:color="auto" w:fill="auto"/>
            <w:noWrap/>
            <w:vAlign w:val="bottom"/>
            <w:hideMark/>
          </w:tcPr>
          <w:p w14:paraId="52086C1B"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50.2</w:t>
            </w:r>
          </w:p>
        </w:tc>
        <w:tc>
          <w:tcPr>
            <w:tcW w:w="1126" w:type="dxa"/>
            <w:tcBorders>
              <w:top w:val="nil"/>
              <w:left w:val="nil"/>
              <w:bottom w:val="nil"/>
              <w:right w:val="nil"/>
            </w:tcBorders>
            <w:shd w:val="clear" w:color="auto" w:fill="auto"/>
            <w:noWrap/>
            <w:vAlign w:val="bottom"/>
            <w:hideMark/>
          </w:tcPr>
          <w:p w14:paraId="2828398D"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-2.262</w:t>
            </w:r>
          </w:p>
        </w:tc>
      </w:tr>
      <w:tr w:rsidR="0002316A" w:rsidRPr="00C66BD5" w14:paraId="79768006" w14:textId="77777777" w:rsidTr="005F3681">
        <w:trPr>
          <w:trHeight w:val="300"/>
        </w:trPr>
        <w:tc>
          <w:tcPr>
            <w:tcW w:w="1829" w:type="dxa"/>
            <w:gridSpan w:val="2"/>
            <w:tcBorders>
              <w:top w:val="nil"/>
              <w:left w:val="nil"/>
              <w:bottom w:val="nil"/>
              <w:right w:val="nil"/>
            </w:tcBorders>
            <w:shd w:val="clear" w:color="auto" w:fill="auto"/>
            <w:noWrap/>
            <w:hideMark/>
          </w:tcPr>
          <w:p w14:paraId="40C67955" w14:textId="77777777" w:rsidR="0002316A" w:rsidRPr="00C66BD5" w:rsidRDefault="0002316A" w:rsidP="005F3681">
            <w:pPr>
              <w:rPr>
                <w:rFonts w:ascii="Arial" w:eastAsia="Times New Roman" w:hAnsi="Arial" w:cs="Arial"/>
                <w:color w:val="000000"/>
                <w:sz w:val="22"/>
                <w:szCs w:val="22"/>
                <w:lang w:val="en-GB"/>
              </w:rPr>
            </w:pPr>
          </w:p>
        </w:tc>
        <w:tc>
          <w:tcPr>
            <w:tcW w:w="1256" w:type="dxa"/>
            <w:gridSpan w:val="2"/>
            <w:tcBorders>
              <w:top w:val="nil"/>
              <w:left w:val="nil"/>
              <w:bottom w:val="nil"/>
              <w:right w:val="nil"/>
            </w:tcBorders>
            <w:shd w:val="clear" w:color="auto" w:fill="auto"/>
            <w:noWrap/>
            <w:vAlign w:val="bottom"/>
            <w:hideMark/>
          </w:tcPr>
          <w:p w14:paraId="19298487"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12</w:t>
            </w:r>
          </w:p>
        </w:tc>
        <w:tc>
          <w:tcPr>
            <w:tcW w:w="3376" w:type="dxa"/>
            <w:gridSpan w:val="2"/>
            <w:tcBorders>
              <w:top w:val="nil"/>
              <w:left w:val="nil"/>
              <w:bottom w:val="nil"/>
              <w:right w:val="nil"/>
            </w:tcBorders>
            <w:shd w:val="clear" w:color="auto" w:fill="auto"/>
            <w:noWrap/>
            <w:vAlign w:val="bottom"/>
            <w:hideMark/>
          </w:tcPr>
          <w:p w14:paraId="68CDEFEE"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superiortemporal</w:t>
            </w:r>
          </w:p>
        </w:tc>
        <w:tc>
          <w:tcPr>
            <w:tcW w:w="815" w:type="dxa"/>
            <w:gridSpan w:val="2"/>
            <w:tcBorders>
              <w:top w:val="nil"/>
              <w:left w:val="nil"/>
              <w:bottom w:val="nil"/>
              <w:right w:val="nil"/>
            </w:tcBorders>
            <w:shd w:val="clear" w:color="auto" w:fill="auto"/>
            <w:noWrap/>
            <w:hideMark/>
          </w:tcPr>
          <w:p w14:paraId="3F7A62D7"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R</w:t>
            </w:r>
          </w:p>
        </w:tc>
        <w:tc>
          <w:tcPr>
            <w:tcW w:w="1377" w:type="dxa"/>
            <w:gridSpan w:val="2"/>
            <w:tcBorders>
              <w:top w:val="nil"/>
              <w:left w:val="nil"/>
              <w:bottom w:val="nil"/>
              <w:right w:val="nil"/>
            </w:tcBorders>
            <w:shd w:val="clear" w:color="auto" w:fill="auto"/>
            <w:noWrap/>
            <w:hideMark/>
          </w:tcPr>
          <w:p w14:paraId="552EA2BA" w14:textId="77777777" w:rsidR="0002316A" w:rsidRPr="00C66BD5" w:rsidRDefault="0002316A" w:rsidP="005F3681">
            <w:pPr>
              <w:jc w:val="center"/>
              <w:rPr>
                <w:rFonts w:ascii="Arial" w:eastAsia="Times New Roman" w:hAnsi="Arial" w:cs="Arial"/>
                <w:color w:val="000000"/>
                <w:sz w:val="22"/>
                <w:szCs w:val="22"/>
                <w:lang w:val="en-GB"/>
              </w:rPr>
            </w:pPr>
            <w:r>
              <w:rPr>
                <w:rFonts w:ascii="Arial" w:eastAsia="Times New Roman" w:hAnsi="Arial" w:cs="Arial"/>
                <w:color w:val="000000"/>
                <w:sz w:val="22"/>
                <w:szCs w:val="22"/>
                <w:lang w:val="en-GB"/>
              </w:rPr>
              <w:t>22</w:t>
            </w:r>
          </w:p>
        </w:tc>
        <w:tc>
          <w:tcPr>
            <w:tcW w:w="1956" w:type="dxa"/>
            <w:gridSpan w:val="4"/>
            <w:tcBorders>
              <w:top w:val="nil"/>
              <w:left w:val="nil"/>
              <w:bottom w:val="nil"/>
              <w:right w:val="nil"/>
            </w:tcBorders>
            <w:shd w:val="clear" w:color="auto" w:fill="auto"/>
            <w:noWrap/>
            <w:vAlign w:val="bottom"/>
            <w:hideMark/>
          </w:tcPr>
          <w:p w14:paraId="7925A47D"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165</w:t>
            </w:r>
          </w:p>
        </w:tc>
        <w:tc>
          <w:tcPr>
            <w:tcW w:w="915" w:type="dxa"/>
            <w:gridSpan w:val="2"/>
            <w:tcBorders>
              <w:top w:val="nil"/>
              <w:left w:val="nil"/>
              <w:bottom w:val="nil"/>
              <w:right w:val="nil"/>
            </w:tcBorders>
            <w:shd w:val="clear" w:color="auto" w:fill="auto"/>
            <w:noWrap/>
            <w:vAlign w:val="bottom"/>
            <w:hideMark/>
          </w:tcPr>
          <w:p w14:paraId="34245755"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63.7</w:t>
            </w:r>
          </w:p>
        </w:tc>
        <w:tc>
          <w:tcPr>
            <w:tcW w:w="915" w:type="dxa"/>
            <w:gridSpan w:val="2"/>
            <w:tcBorders>
              <w:top w:val="nil"/>
              <w:left w:val="nil"/>
              <w:bottom w:val="nil"/>
              <w:right w:val="nil"/>
            </w:tcBorders>
            <w:shd w:val="clear" w:color="auto" w:fill="auto"/>
            <w:noWrap/>
            <w:vAlign w:val="bottom"/>
            <w:hideMark/>
          </w:tcPr>
          <w:p w14:paraId="71371E89"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-16.2</w:t>
            </w:r>
          </w:p>
        </w:tc>
        <w:tc>
          <w:tcPr>
            <w:tcW w:w="915" w:type="dxa"/>
            <w:gridSpan w:val="2"/>
            <w:tcBorders>
              <w:top w:val="nil"/>
              <w:left w:val="nil"/>
              <w:bottom w:val="nil"/>
              <w:right w:val="nil"/>
            </w:tcBorders>
            <w:shd w:val="clear" w:color="auto" w:fill="auto"/>
            <w:noWrap/>
            <w:vAlign w:val="bottom"/>
            <w:hideMark/>
          </w:tcPr>
          <w:p w14:paraId="6A9B529F"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4.2</w:t>
            </w:r>
          </w:p>
        </w:tc>
        <w:tc>
          <w:tcPr>
            <w:tcW w:w="1126" w:type="dxa"/>
            <w:tcBorders>
              <w:top w:val="nil"/>
              <w:left w:val="nil"/>
              <w:bottom w:val="nil"/>
              <w:right w:val="nil"/>
            </w:tcBorders>
            <w:shd w:val="clear" w:color="auto" w:fill="auto"/>
            <w:noWrap/>
            <w:vAlign w:val="bottom"/>
            <w:hideMark/>
          </w:tcPr>
          <w:p w14:paraId="63BD8A7B"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-2.485</w:t>
            </w:r>
          </w:p>
        </w:tc>
      </w:tr>
      <w:tr w:rsidR="0002316A" w:rsidRPr="00C66BD5" w14:paraId="5806EE33" w14:textId="77777777" w:rsidTr="005F3681">
        <w:trPr>
          <w:trHeight w:val="300"/>
        </w:trPr>
        <w:tc>
          <w:tcPr>
            <w:tcW w:w="1829" w:type="dxa"/>
            <w:gridSpan w:val="2"/>
            <w:tcBorders>
              <w:top w:val="nil"/>
              <w:left w:val="nil"/>
              <w:bottom w:val="nil"/>
              <w:right w:val="nil"/>
            </w:tcBorders>
            <w:shd w:val="clear" w:color="auto" w:fill="auto"/>
            <w:noWrap/>
            <w:vAlign w:val="bottom"/>
            <w:hideMark/>
          </w:tcPr>
          <w:p w14:paraId="521A633C" w14:textId="77777777" w:rsidR="0002316A" w:rsidRPr="00C66BD5" w:rsidRDefault="0002316A" w:rsidP="005F3681">
            <w:pPr>
              <w:rPr>
                <w:rFonts w:ascii="Arial" w:eastAsia="Times New Roman" w:hAnsi="Arial" w:cs="Arial"/>
                <w:color w:val="000000"/>
                <w:sz w:val="22"/>
                <w:szCs w:val="22"/>
                <w:lang w:val="en-GB"/>
              </w:rPr>
            </w:pPr>
          </w:p>
        </w:tc>
        <w:tc>
          <w:tcPr>
            <w:tcW w:w="1256" w:type="dxa"/>
            <w:gridSpan w:val="2"/>
            <w:tcBorders>
              <w:top w:val="nil"/>
              <w:left w:val="nil"/>
              <w:bottom w:val="nil"/>
              <w:right w:val="nil"/>
            </w:tcBorders>
            <w:shd w:val="clear" w:color="auto" w:fill="auto"/>
            <w:noWrap/>
            <w:vAlign w:val="bottom"/>
            <w:hideMark/>
          </w:tcPr>
          <w:p w14:paraId="595DD4C7"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13</w:t>
            </w:r>
          </w:p>
        </w:tc>
        <w:tc>
          <w:tcPr>
            <w:tcW w:w="3376" w:type="dxa"/>
            <w:gridSpan w:val="2"/>
            <w:tcBorders>
              <w:top w:val="nil"/>
              <w:left w:val="nil"/>
              <w:bottom w:val="nil"/>
              <w:right w:val="nil"/>
            </w:tcBorders>
            <w:shd w:val="clear" w:color="auto" w:fill="auto"/>
            <w:noWrap/>
            <w:vAlign w:val="bottom"/>
            <w:hideMark/>
          </w:tcPr>
          <w:p w14:paraId="7FB8CA47"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superiorparietal</w:t>
            </w:r>
          </w:p>
        </w:tc>
        <w:tc>
          <w:tcPr>
            <w:tcW w:w="815" w:type="dxa"/>
            <w:gridSpan w:val="2"/>
            <w:tcBorders>
              <w:top w:val="nil"/>
              <w:left w:val="nil"/>
              <w:bottom w:val="nil"/>
              <w:right w:val="nil"/>
            </w:tcBorders>
            <w:shd w:val="clear" w:color="auto" w:fill="auto"/>
            <w:noWrap/>
            <w:hideMark/>
          </w:tcPr>
          <w:p w14:paraId="6F350CE3"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L</w:t>
            </w:r>
          </w:p>
        </w:tc>
        <w:tc>
          <w:tcPr>
            <w:tcW w:w="1377" w:type="dxa"/>
            <w:gridSpan w:val="2"/>
            <w:tcBorders>
              <w:top w:val="nil"/>
              <w:left w:val="nil"/>
              <w:bottom w:val="nil"/>
              <w:right w:val="nil"/>
            </w:tcBorders>
            <w:shd w:val="clear" w:color="auto" w:fill="auto"/>
            <w:noWrap/>
            <w:hideMark/>
          </w:tcPr>
          <w:p w14:paraId="613C4D7C" w14:textId="77777777" w:rsidR="0002316A" w:rsidRPr="00C66BD5" w:rsidRDefault="0002316A" w:rsidP="005F3681">
            <w:pPr>
              <w:jc w:val="center"/>
              <w:rPr>
                <w:rFonts w:ascii="Arial" w:eastAsia="Times New Roman" w:hAnsi="Arial" w:cs="Arial"/>
                <w:color w:val="000000"/>
                <w:sz w:val="22"/>
                <w:szCs w:val="22"/>
                <w:lang w:val="en-GB"/>
              </w:rPr>
            </w:pPr>
            <w:r>
              <w:rPr>
                <w:rFonts w:ascii="Arial" w:eastAsia="Times New Roman" w:hAnsi="Arial" w:cs="Arial"/>
                <w:color w:val="000000"/>
                <w:sz w:val="22"/>
                <w:szCs w:val="22"/>
                <w:lang w:val="en-GB"/>
              </w:rPr>
              <w:t>40</w:t>
            </w:r>
          </w:p>
        </w:tc>
        <w:tc>
          <w:tcPr>
            <w:tcW w:w="1956" w:type="dxa"/>
            <w:gridSpan w:val="4"/>
            <w:tcBorders>
              <w:top w:val="nil"/>
              <w:left w:val="nil"/>
              <w:bottom w:val="nil"/>
              <w:right w:val="nil"/>
            </w:tcBorders>
            <w:shd w:val="clear" w:color="auto" w:fill="auto"/>
            <w:noWrap/>
            <w:vAlign w:val="bottom"/>
            <w:hideMark/>
          </w:tcPr>
          <w:p w14:paraId="617572F9"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1304</w:t>
            </w:r>
          </w:p>
        </w:tc>
        <w:tc>
          <w:tcPr>
            <w:tcW w:w="915" w:type="dxa"/>
            <w:gridSpan w:val="2"/>
            <w:tcBorders>
              <w:top w:val="nil"/>
              <w:left w:val="nil"/>
              <w:bottom w:val="nil"/>
              <w:right w:val="nil"/>
            </w:tcBorders>
            <w:shd w:val="clear" w:color="auto" w:fill="auto"/>
            <w:noWrap/>
            <w:vAlign w:val="bottom"/>
            <w:hideMark/>
          </w:tcPr>
          <w:p w14:paraId="71C8ADFE"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-33</w:t>
            </w:r>
          </w:p>
        </w:tc>
        <w:tc>
          <w:tcPr>
            <w:tcW w:w="915" w:type="dxa"/>
            <w:gridSpan w:val="2"/>
            <w:tcBorders>
              <w:top w:val="nil"/>
              <w:left w:val="nil"/>
              <w:bottom w:val="nil"/>
              <w:right w:val="nil"/>
            </w:tcBorders>
            <w:shd w:val="clear" w:color="auto" w:fill="auto"/>
            <w:noWrap/>
            <w:vAlign w:val="bottom"/>
            <w:hideMark/>
          </w:tcPr>
          <w:p w14:paraId="3AC7ECEC"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-39.6</w:t>
            </w:r>
          </w:p>
        </w:tc>
        <w:tc>
          <w:tcPr>
            <w:tcW w:w="915" w:type="dxa"/>
            <w:gridSpan w:val="2"/>
            <w:tcBorders>
              <w:top w:val="nil"/>
              <w:left w:val="nil"/>
              <w:bottom w:val="nil"/>
              <w:right w:val="nil"/>
            </w:tcBorders>
            <w:shd w:val="clear" w:color="auto" w:fill="auto"/>
            <w:noWrap/>
            <w:vAlign w:val="bottom"/>
            <w:hideMark/>
          </w:tcPr>
          <w:p w14:paraId="22D8F91F"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45.2</w:t>
            </w:r>
          </w:p>
        </w:tc>
        <w:tc>
          <w:tcPr>
            <w:tcW w:w="1126" w:type="dxa"/>
            <w:tcBorders>
              <w:top w:val="nil"/>
              <w:left w:val="nil"/>
              <w:bottom w:val="nil"/>
              <w:right w:val="nil"/>
            </w:tcBorders>
            <w:shd w:val="clear" w:color="auto" w:fill="auto"/>
            <w:noWrap/>
            <w:vAlign w:val="bottom"/>
            <w:hideMark/>
          </w:tcPr>
          <w:p w14:paraId="78D9D680"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-3.03</w:t>
            </w:r>
          </w:p>
        </w:tc>
      </w:tr>
      <w:tr w:rsidR="0002316A" w:rsidRPr="00C66BD5" w14:paraId="02EEB8AB" w14:textId="77777777" w:rsidTr="005F3681">
        <w:trPr>
          <w:trHeight w:val="333"/>
        </w:trPr>
        <w:tc>
          <w:tcPr>
            <w:tcW w:w="1829" w:type="dxa"/>
            <w:gridSpan w:val="2"/>
            <w:tcBorders>
              <w:top w:val="nil"/>
              <w:left w:val="nil"/>
              <w:bottom w:val="nil"/>
              <w:right w:val="nil"/>
            </w:tcBorders>
            <w:shd w:val="clear" w:color="auto" w:fill="auto"/>
            <w:noWrap/>
            <w:vAlign w:val="bottom"/>
            <w:hideMark/>
          </w:tcPr>
          <w:p w14:paraId="1CED048E" w14:textId="77777777" w:rsidR="0002316A" w:rsidRPr="00C66BD5" w:rsidRDefault="0002316A" w:rsidP="005F3681">
            <w:pPr>
              <w:rPr>
                <w:rFonts w:ascii="Arial" w:eastAsia="Times New Roman" w:hAnsi="Arial" w:cs="Arial"/>
                <w:color w:val="000000"/>
                <w:sz w:val="22"/>
                <w:szCs w:val="22"/>
                <w:lang w:val="en-GB"/>
              </w:rPr>
            </w:pPr>
          </w:p>
        </w:tc>
        <w:tc>
          <w:tcPr>
            <w:tcW w:w="1256" w:type="dxa"/>
            <w:gridSpan w:val="2"/>
            <w:tcBorders>
              <w:top w:val="nil"/>
              <w:left w:val="nil"/>
              <w:bottom w:val="nil"/>
              <w:right w:val="nil"/>
            </w:tcBorders>
            <w:shd w:val="clear" w:color="auto" w:fill="auto"/>
            <w:noWrap/>
            <w:vAlign w:val="bottom"/>
            <w:hideMark/>
          </w:tcPr>
          <w:p w14:paraId="4BD46FE3"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14</w:t>
            </w:r>
          </w:p>
        </w:tc>
        <w:tc>
          <w:tcPr>
            <w:tcW w:w="3376" w:type="dxa"/>
            <w:gridSpan w:val="2"/>
            <w:tcBorders>
              <w:top w:val="nil"/>
              <w:left w:val="nil"/>
              <w:bottom w:val="nil"/>
              <w:right w:val="nil"/>
            </w:tcBorders>
            <w:shd w:val="clear" w:color="auto" w:fill="auto"/>
            <w:noWrap/>
            <w:vAlign w:val="bottom"/>
            <w:hideMark/>
          </w:tcPr>
          <w:p w14:paraId="2FD52910"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lateraloccipital</w:t>
            </w:r>
          </w:p>
        </w:tc>
        <w:tc>
          <w:tcPr>
            <w:tcW w:w="815" w:type="dxa"/>
            <w:gridSpan w:val="2"/>
            <w:tcBorders>
              <w:top w:val="nil"/>
              <w:left w:val="nil"/>
              <w:bottom w:val="nil"/>
              <w:right w:val="nil"/>
            </w:tcBorders>
            <w:shd w:val="clear" w:color="auto" w:fill="auto"/>
            <w:noWrap/>
            <w:hideMark/>
          </w:tcPr>
          <w:p w14:paraId="1F951D3C"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L</w:t>
            </w:r>
          </w:p>
        </w:tc>
        <w:tc>
          <w:tcPr>
            <w:tcW w:w="1377" w:type="dxa"/>
            <w:gridSpan w:val="2"/>
            <w:tcBorders>
              <w:top w:val="nil"/>
              <w:left w:val="nil"/>
              <w:bottom w:val="nil"/>
              <w:right w:val="nil"/>
            </w:tcBorders>
            <w:shd w:val="clear" w:color="auto" w:fill="auto"/>
            <w:noWrap/>
            <w:hideMark/>
          </w:tcPr>
          <w:p w14:paraId="368F5925" w14:textId="77777777" w:rsidR="0002316A" w:rsidRPr="00C66BD5" w:rsidRDefault="0002316A" w:rsidP="005F3681">
            <w:pPr>
              <w:jc w:val="center"/>
              <w:rPr>
                <w:rFonts w:ascii="Arial" w:eastAsia="Times New Roman" w:hAnsi="Arial" w:cs="Arial"/>
                <w:color w:val="000000"/>
                <w:sz w:val="22"/>
                <w:szCs w:val="22"/>
                <w:lang w:val="en-GB"/>
              </w:rPr>
            </w:pPr>
            <w:r>
              <w:rPr>
                <w:rFonts w:ascii="Arial" w:eastAsia="Times New Roman" w:hAnsi="Arial" w:cs="Arial"/>
                <w:color w:val="000000"/>
                <w:sz w:val="22"/>
                <w:szCs w:val="22"/>
                <w:lang w:val="en-GB"/>
              </w:rPr>
              <w:t>17</w:t>
            </w:r>
          </w:p>
        </w:tc>
        <w:tc>
          <w:tcPr>
            <w:tcW w:w="1956" w:type="dxa"/>
            <w:gridSpan w:val="4"/>
            <w:tcBorders>
              <w:top w:val="nil"/>
              <w:left w:val="nil"/>
              <w:bottom w:val="nil"/>
              <w:right w:val="nil"/>
            </w:tcBorders>
            <w:shd w:val="clear" w:color="auto" w:fill="auto"/>
            <w:noWrap/>
            <w:vAlign w:val="bottom"/>
            <w:hideMark/>
          </w:tcPr>
          <w:p w14:paraId="345BABD2"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615</w:t>
            </w:r>
          </w:p>
        </w:tc>
        <w:tc>
          <w:tcPr>
            <w:tcW w:w="915" w:type="dxa"/>
            <w:gridSpan w:val="2"/>
            <w:tcBorders>
              <w:top w:val="nil"/>
              <w:left w:val="nil"/>
              <w:bottom w:val="nil"/>
              <w:right w:val="nil"/>
            </w:tcBorders>
            <w:shd w:val="clear" w:color="auto" w:fill="auto"/>
            <w:noWrap/>
            <w:vAlign w:val="bottom"/>
            <w:hideMark/>
          </w:tcPr>
          <w:p w14:paraId="3BDB66CA"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-15.8</w:t>
            </w:r>
          </w:p>
        </w:tc>
        <w:tc>
          <w:tcPr>
            <w:tcW w:w="915" w:type="dxa"/>
            <w:gridSpan w:val="2"/>
            <w:tcBorders>
              <w:top w:val="nil"/>
              <w:left w:val="nil"/>
              <w:bottom w:val="nil"/>
              <w:right w:val="nil"/>
            </w:tcBorders>
            <w:shd w:val="clear" w:color="auto" w:fill="auto"/>
            <w:noWrap/>
            <w:vAlign w:val="bottom"/>
            <w:hideMark/>
          </w:tcPr>
          <w:p w14:paraId="6B032281"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-93.6</w:t>
            </w:r>
          </w:p>
        </w:tc>
        <w:tc>
          <w:tcPr>
            <w:tcW w:w="915" w:type="dxa"/>
            <w:gridSpan w:val="2"/>
            <w:tcBorders>
              <w:top w:val="nil"/>
              <w:left w:val="nil"/>
              <w:bottom w:val="nil"/>
              <w:right w:val="nil"/>
            </w:tcBorders>
            <w:shd w:val="clear" w:color="auto" w:fill="auto"/>
            <w:noWrap/>
            <w:vAlign w:val="bottom"/>
            <w:hideMark/>
          </w:tcPr>
          <w:p w14:paraId="724FA7DF"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-2.6</w:t>
            </w:r>
          </w:p>
        </w:tc>
        <w:tc>
          <w:tcPr>
            <w:tcW w:w="1126" w:type="dxa"/>
            <w:tcBorders>
              <w:top w:val="nil"/>
              <w:left w:val="nil"/>
              <w:bottom w:val="nil"/>
              <w:right w:val="nil"/>
            </w:tcBorders>
            <w:shd w:val="clear" w:color="auto" w:fill="auto"/>
            <w:noWrap/>
            <w:vAlign w:val="bottom"/>
            <w:hideMark/>
          </w:tcPr>
          <w:p w14:paraId="74E7FD56"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-3.093</w:t>
            </w:r>
          </w:p>
        </w:tc>
      </w:tr>
      <w:tr w:rsidR="0002316A" w:rsidRPr="00C66BD5" w14:paraId="6C659E60" w14:textId="77777777" w:rsidTr="005F3681">
        <w:trPr>
          <w:trHeight w:val="300"/>
        </w:trPr>
        <w:tc>
          <w:tcPr>
            <w:tcW w:w="1829" w:type="dxa"/>
            <w:gridSpan w:val="2"/>
            <w:tcBorders>
              <w:top w:val="nil"/>
              <w:left w:val="nil"/>
              <w:bottom w:val="nil"/>
              <w:right w:val="nil"/>
            </w:tcBorders>
            <w:shd w:val="clear" w:color="auto" w:fill="auto"/>
            <w:noWrap/>
            <w:vAlign w:val="bottom"/>
            <w:hideMark/>
          </w:tcPr>
          <w:p w14:paraId="1B2F254E" w14:textId="77777777" w:rsidR="0002316A" w:rsidRPr="00C66BD5" w:rsidRDefault="0002316A" w:rsidP="005F3681">
            <w:pPr>
              <w:rPr>
                <w:rFonts w:ascii="Arial" w:eastAsia="Times New Roman" w:hAnsi="Arial" w:cs="Arial"/>
                <w:color w:val="000000"/>
                <w:sz w:val="22"/>
                <w:szCs w:val="22"/>
                <w:lang w:val="en-GB"/>
              </w:rPr>
            </w:pPr>
          </w:p>
        </w:tc>
        <w:tc>
          <w:tcPr>
            <w:tcW w:w="1256" w:type="dxa"/>
            <w:gridSpan w:val="2"/>
            <w:tcBorders>
              <w:top w:val="nil"/>
              <w:left w:val="nil"/>
              <w:bottom w:val="nil"/>
              <w:right w:val="nil"/>
            </w:tcBorders>
            <w:shd w:val="clear" w:color="auto" w:fill="auto"/>
            <w:noWrap/>
            <w:vAlign w:val="bottom"/>
            <w:hideMark/>
          </w:tcPr>
          <w:p w14:paraId="7AB6E91E"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15</w:t>
            </w:r>
          </w:p>
        </w:tc>
        <w:tc>
          <w:tcPr>
            <w:tcW w:w="3376" w:type="dxa"/>
            <w:gridSpan w:val="2"/>
            <w:tcBorders>
              <w:top w:val="nil"/>
              <w:left w:val="nil"/>
              <w:bottom w:val="nil"/>
              <w:right w:val="nil"/>
            </w:tcBorders>
            <w:shd w:val="clear" w:color="auto" w:fill="auto"/>
            <w:noWrap/>
            <w:vAlign w:val="bottom"/>
            <w:hideMark/>
          </w:tcPr>
          <w:p w14:paraId="561A1530"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paracentral</w:t>
            </w:r>
          </w:p>
        </w:tc>
        <w:tc>
          <w:tcPr>
            <w:tcW w:w="815" w:type="dxa"/>
            <w:gridSpan w:val="2"/>
            <w:tcBorders>
              <w:top w:val="nil"/>
              <w:left w:val="nil"/>
              <w:bottom w:val="nil"/>
              <w:right w:val="nil"/>
            </w:tcBorders>
            <w:shd w:val="clear" w:color="auto" w:fill="auto"/>
            <w:noWrap/>
            <w:hideMark/>
          </w:tcPr>
          <w:p w14:paraId="41ABC4DA"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L</w:t>
            </w:r>
          </w:p>
        </w:tc>
        <w:tc>
          <w:tcPr>
            <w:tcW w:w="1377" w:type="dxa"/>
            <w:gridSpan w:val="2"/>
            <w:tcBorders>
              <w:top w:val="nil"/>
              <w:left w:val="nil"/>
              <w:bottom w:val="nil"/>
              <w:right w:val="nil"/>
            </w:tcBorders>
            <w:shd w:val="clear" w:color="auto" w:fill="auto"/>
            <w:noWrap/>
            <w:hideMark/>
          </w:tcPr>
          <w:p w14:paraId="75ABC70B" w14:textId="77777777" w:rsidR="0002316A" w:rsidRPr="00C66BD5" w:rsidRDefault="0002316A" w:rsidP="005F3681">
            <w:pPr>
              <w:jc w:val="center"/>
              <w:rPr>
                <w:rFonts w:ascii="Arial" w:eastAsia="Times New Roman" w:hAnsi="Arial" w:cs="Arial"/>
                <w:color w:val="000000"/>
                <w:sz w:val="22"/>
                <w:szCs w:val="22"/>
                <w:lang w:val="en-GB"/>
              </w:rPr>
            </w:pPr>
            <w:r>
              <w:rPr>
                <w:rFonts w:ascii="Arial" w:eastAsia="Times New Roman" w:hAnsi="Arial" w:cs="Arial"/>
                <w:color w:val="000000"/>
                <w:sz w:val="22"/>
                <w:szCs w:val="22"/>
                <w:lang w:val="en-GB"/>
              </w:rPr>
              <w:t>6</w:t>
            </w:r>
          </w:p>
        </w:tc>
        <w:tc>
          <w:tcPr>
            <w:tcW w:w="1956" w:type="dxa"/>
            <w:gridSpan w:val="4"/>
            <w:tcBorders>
              <w:top w:val="nil"/>
              <w:left w:val="nil"/>
              <w:bottom w:val="nil"/>
              <w:right w:val="nil"/>
            </w:tcBorders>
            <w:shd w:val="clear" w:color="auto" w:fill="auto"/>
            <w:noWrap/>
            <w:vAlign w:val="bottom"/>
            <w:hideMark/>
          </w:tcPr>
          <w:p w14:paraId="59FFE7C2"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726</w:t>
            </w:r>
          </w:p>
        </w:tc>
        <w:tc>
          <w:tcPr>
            <w:tcW w:w="915" w:type="dxa"/>
            <w:gridSpan w:val="2"/>
            <w:tcBorders>
              <w:top w:val="nil"/>
              <w:left w:val="nil"/>
              <w:bottom w:val="nil"/>
              <w:right w:val="nil"/>
            </w:tcBorders>
            <w:shd w:val="clear" w:color="auto" w:fill="auto"/>
            <w:noWrap/>
            <w:vAlign w:val="bottom"/>
            <w:hideMark/>
          </w:tcPr>
          <w:p w14:paraId="496AD392"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-9.3</w:t>
            </w:r>
          </w:p>
        </w:tc>
        <w:tc>
          <w:tcPr>
            <w:tcW w:w="915" w:type="dxa"/>
            <w:gridSpan w:val="2"/>
            <w:tcBorders>
              <w:top w:val="nil"/>
              <w:left w:val="nil"/>
              <w:bottom w:val="nil"/>
              <w:right w:val="nil"/>
            </w:tcBorders>
            <w:shd w:val="clear" w:color="auto" w:fill="auto"/>
            <w:noWrap/>
            <w:vAlign w:val="bottom"/>
            <w:hideMark/>
          </w:tcPr>
          <w:p w14:paraId="22435691"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-18.2</w:t>
            </w:r>
          </w:p>
        </w:tc>
        <w:tc>
          <w:tcPr>
            <w:tcW w:w="915" w:type="dxa"/>
            <w:gridSpan w:val="2"/>
            <w:tcBorders>
              <w:top w:val="nil"/>
              <w:left w:val="nil"/>
              <w:bottom w:val="nil"/>
              <w:right w:val="nil"/>
            </w:tcBorders>
            <w:shd w:val="clear" w:color="auto" w:fill="auto"/>
            <w:noWrap/>
            <w:vAlign w:val="bottom"/>
            <w:hideMark/>
          </w:tcPr>
          <w:p w14:paraId="0C5CB9F1"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56.9</w:t>
            </w:r>
          </w:p>
        </w:tc>
        <w:tc>
          <w:tcPr>
            <w:tcW w:w="1126" w:type="dxa"/>
            <w:tcBorders>
              <w:top w:val="nil"/>
              <w:left w:val="nil"/>
              <w:bottom w:val="nil"/>
              <w:right w:val="nil"/>
            </w:tcBorders>
            <w:shd w:val="clear" w:color="auto" w:fill="auto"/>
            <w:noWrap/>
            <w:vAlign w:val="bottom"/>
            <w:hideMark/>
          </w:tcPr>
          <w:p w14:paraId="5C560E0B"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-2.883</w:t>
            </w:r>
          </w:p>
        </w:tc>
      </w:tr>
      <w:tr w:rsidR="0002316A" w:rsidRPr="00C66BD5" w14:paraId="2EFA53DB" w14:textId="77777777" w:rsidTr="005F3681">
        <w:trPr>
          <w:trHeight w:val="300"/>
        </w:trPr>
        <w:tc>
          <w:tcPr>
            <w:tcW w:w="1829" w:type="dxa"/>
            <w:gridSpan w:val="2"/>
            <w:tcBorders>
              <w:top w:val="nil"/>
              <w:left w:val="nil"/>
              <w:bottom w:val="nil"/>
              <w:right w:val="nil"/>
            </w:tcBorders>
            <w:shd w:val="clear" w:color="auto" w:fill="auto"/>
            <w:noWrap/>
            <w:vAlign w:val="bottom"/>
            <w:hideMark/>
          </w:tcPr>
          <w:p w14:paraId="1179B5AD" w14:textId="77777777" w:rsidR="0002316A" w:rsidRPr="00C66BD5" w:rsidRDefault="0002316A" w:rsidP="005F3681">
            <w:pPr>
              <w:rPr>
                <w:rFonts w:ascii="Arial" w:eastAsia="Times New Roman" w:hAnsi="Arial" w:cs="Arial"/>
                <w:color w:val="000000"/>
                <w:sz w:val="22"/>
                <w:szCs w:val="22"/>
                <w:lang w:val="en-GB"/>
              </w:rPr>
            </w:pPr>
          </w:p>
        </w:tc>
        <w:tc>
          <w:tcPr>
            <w:tcW w:w="1256" w:type="dxa"/>
            <w:gridSpan w:val="2"/>
            <w:tcBorders>
              <w:top w:val="nil"/>
              <w:left w:val="nil"/>
              <w:bottom w:val="nil"/>
              <w:right w:val="nil"/>
            </w:tcBorders>
            <w:shd w:val="clear" w:color="auto" w:fill="auto"/>
            <w:noWrap/>
            <w:vAlign w:val="bottom"/>
            <w:hideMark/>
          </w:tcPr>
          <w:p w14:paraId="053B5770"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16</w:t>
            </w:r>
          </w:p>
        </w:tc>
        <w:tc>
          <w:tcPr>
            <w:tcW w:w="3376" w:type="dxa"/>
            <w:gridSpan w:val="2"/>
            <w:tcBorders>
              <w:top w:val="nil"/>
              <w:left w:val="nil"/>
              <w:bottom w:val="nil"/>
              <w:right w:val="nil"/>
            </w:tcBorders>
            <w:shd w:val="clear" w:color="auto" w:fill="auto"/>
            <w:noWrap/>
            <w:vAlign w:val="bottom"/>
            <w:hideMark/>
          </w:tcPr>
          <w:p w14:paraId="50960FE5"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lateraloccipital</w:t>
            </w:r>
          </w:p>
        </w:tc>
        <w:tc>
          <w:tcPr>
            <w:tcW w:w="815" w:type="dxa"/>
            <w:gridSpan w:val="2"/>
            <w:tcBorders>
              <w:top w:val="nil"/>
              <w:left w:val="nil"/>
              <w:bottom w:val="nil"/>
              <w:right w:val="nil"/>
            </w:tcBorders>
            <w:shd w:val="clear" w:color="auto" w:fill="auto"/>
            <w:noWrap/>
            <w:hideMark/>
          </w:tcPr>
          <w:p w14:paraId="27ECA47A"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L</w:t>
            </w:r>
          </w:p>
        </w:tc>
        <w:tc>
          <w:tcPr>
            <w:tcW w:w="1377" w:type="dxa"/>
            <w:gridSpan w:val="2"/>
            <w:tcBorders>
              <w:top w:val="nil"/>
              <w:left w:val="nil"/>
              <w:bottom w:val="nil"/>
              <w:right w:val="nil"/>
            </w:tcBorders>
            <w:shd w:val="clear" w:color="auto" w:fill="auto"/>
            <w:noWrap/>
            <w:hideMark/>
          </w:tcPr>
          <w:p w14:paraId="3C6E9F75" w14:textId="77777777" w:rsidR="0002316A" w:rsidRPr="00C66BD5" w:rsidRDefault="0002316A" w:rsidP="005F3681">
            <w:pPr>
              <w:jc w:val="center"/>
              <w:rPr>
                <w:rFonts w:ascii="Arial" w:eastAsia="Times New Roman" w:hAnsi="Arial" w:cs="Arial"/>
                <w:color w:val="000000"/>
                <w:sz w:val="22"/>
                <w:szCs w:val="22"/>
                <w:lang w:val="en-GB"/>
              </w:rPr>
            </w:pPr>
            <w:r>
              <w:rPr>
                <w:rFonts w:ascii="Arial" w:eastAsia="Times New Roman" w:hAnsi="Arial" w:cs="Arial"/>
                <w:color w:val="000000"/>
                <w:sz w:val="22"/>
                <w:szCs w:val="22"/>
                <w:lang w:val="en-GB"/>
              </w:rPr>
              <w:t>39</w:t>
            </w:r>
          </w:p>
        </w:tc>
        <w:tc>
          <w:tcPr>
            <w:tcW w:w="1956" w:type="dxa"/>
            <w:gridSpan w:val="4"/>
            <w:tcBorders>
              <w:top w:val="nil"/>
              <w:left w:val="nil"/>
              <w:bottom w:val="nil"/>
              <w:right w:val="nil"/>
            </w:tcBorders>
            <w:shd w:val="clear" w:color="auto" w:fill="auto"/>
            <w:noWrap/>
            <w:vAlign w:val="bottom"/>
            <w:hideMark/>
          </w:tcPr>
          <w:p w14:paraId="7AE81BC0"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394</w:t>
            </w:r>
          </w:p>
        </w:tc>
        <w:tc>
          <w:tcPr>
            <w:tcW w:w="915" w:type="dxa"/>
            <w:gridSpan w:val="2"/>
            <w:tcBorders>
              <w:top w:val="nil"/>
              <w:left w:val="nil"/>
              <w:bottom w:val="nil"/>
              <w:right w:val="nil"/>
            </w:tcBorders>
            <w:shd w:val="clear" w:color="auto" w:fill="auto"/>
            <w:noWrap/>
            <w:vAlign w:val="bottom"/>
            <w:hideMark/>
          </w:tcPr>
          <w:p w14:paraId="357D8332"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-40.2</w:t>
            </w:r>
          </w:p>
        </w:tc>
        <w:tc>
          <w:tcPr>
            <w:tcW w:w="915" w:type="dxa"/>
            <w:gridSpan w:val="2"/>
            <w:tcBorders>
              <w:top w:val="nil"/>
              <w:left w:val="nil"/>
              <w:bottom w:val="nil"/>
              <w:right w:val="nil"/>
            </w:tcBorders>
            <w:shd w:val="clear" w:color="auto" w:fill="auto"/>
            <w:noWrap/>
            <w:vAlign w:val="bottom"/>
            <w:hideMark/>
          </w:tcPr>
          <w:p w14:paraId="2B1EE51D"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-73.9</w:t>
            </w:r>
          </w:p>
        </w:tc>
        <w:tc>
          <w:tcPr>
            <w:tcW w:w="915" w:type="dxa"/>
            <w:gridSpan w:val="2"/>
            <w:tcBorders>
              <w:top w:val="nil"/>
              <w:left w:val="nil"/>
              <w:bottom w:val="nil"/>
              <w:right w:val="nil"/>
            </w:tcBorders>
            <w:shd w:val="clear" w:color="auto" w:fill="auto"/>
            <w:noWrap/>
            <w:vAlign w:val="bottom"/>
            <w:hideMark/>
          </w:tcPr>
          <w:p w14:paraId="5B485C1B"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12.8</w:t>
            </w:r>
          </w:p>
        </w:tc>
        <w:tc>
          <w:tcPr>
            <w:tcW w:w="1126" w:type="dxa"/>
            <w:tcBorders>
              <w:top w:val="nil"/>
              <w:left w:val="nil"/>
              <w:bottom w:val="nil"/>
              <w:right w:val="nil"/>
            </w:tcBorders>
            <w:shd w:val="clear" w:color="auto" w:fill="auto"/>
            <w:noWrap/>
            <w:vAlign w:val="bottom"/>
            <w:hideMark/>
          </w:tcPr>
          <w:p w14:paraId="02025818"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-2.819</w:t>
            </w:r>
          </w:p>
        </w:tc>
      </w:tr>
      <w:tr w:rsidR="0002316A" w:rsidRPr="00C66BD5" w14:paraId="60B11DD6" w14:textId="77777777" w:rsidTr="005F3681">
        <w:trPr>
          <w:trHeight w:val="315"/>
        </w:trPr>
        <w:tc>
          <w:tcPr>
            <w:tcW w:w="1829" w:type="dxa"/>
            <w:gridSpan w:val="2"/>
            <w:tcBorders>
              <w:top w:val="nil"/>
              <w:left w:val="nil"/>
              <w:bottom w:val="nil"/>
              <w:right w:val="nil"/>
            </w:tcBorders>
            <w:shd w:val="clear" w:color="auto" w:fill="auto"/>
            <w:noWrap/>
            <w:vAlign w:val="bottom"/>
            <w:hideMark/>
          </w:tcPr>
          <w:p w14:paraId="546FC8CF" w14:textId="77777777" w:rsidR="0002316A" w:rsidRPr="00C66BD5" w:rsidRDefault="0002316A" w:rsidP="005F3681">
            <w:pPr>
              <w:rPr>
                <w:rFonts w:ascii="Arial" w:eastAsia="Times New Roman" w:hAnsi="Arial" w:cs="Arial"/>
                <w:color w:val="000000"/>
                <w:sz w:val="22"/>
                <w:szCs w:val="22"/>
                <w:lang w:val="en-GB"/>
              </w:rPr>
            </w:pPr>
          </w:p>
        </w:tc>
        <w:tc>
          <w:tcPr>
            <w:tcW w:w="1256" w:type="dxa"/>
            <w:gridSpan w:val="2"/>
            <w:tcBorders>
              <w:top w:val="nil"/>
              <w:left w:val="nil"/>
              <w:bottom w:val="nil"/>
              <w:right w:val="nil"/>
            </w:tcBorders>
            <w:shd w:val="clear" w:color="auto" w:fill="auto"/>
            <w:noWrap/>
            <w:vAlign w:val="bottom"/>
            <w:hideMark/>
          </w:tcPr>
          <w:p w14:paraId="5F778C48"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17</w:t>
            </w:r>
          </w:p>
        </w:tc>
        <w:tc>
          <w:tcPr>
            <w:tcW w:w="3376" w:type="dxa"/>
            <w:gridSpan w:val="2"/>
            <w:tcBorders>
              <w:top w:val="nil"/>
              <w:left w:val="nil"/>
              <w:bottom w:val="nil"/>
              <w:right w:val="nil"/>
            </w:tcBorders>
            <w:shd w:val="clear" w:color="auto" w:fill="auto"/>
            <w:noWrap/>
            <w:vAlign w:val="bottom"/>
            <w:hideMark/>
          </w:tcPr>
          <w:p w14:paraId="084D9341"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middletemporal</w:t>
            </w:r>
          </w:p>
        </w:tc>
        <w:tc>
          <w:tcPr>
            <w:tcW w:w="815" w:type="dxa"/>
            <w:gridSpan w:val="2"/>
            <w:tcBorders>
              <w:top w:val="nil"/>
              <w:left w:val="nil"/>
              <w:bottom w:val="nil"/>
              <w:right w:val="nil"/>
            </w:tcBorders>
            <w:shd w:val="clear" w:color="auto" w:fill="auto"/>
            <w:noWrap/>
            <w:hideMark/>
          </w:tcPr>
          <w:p w14:paraId="2316EA13"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L</w:t>
            </w:r>
          </w:p>
        </w:tc>
        <w:tc>
          <w:tcPr>
            <w:tcW w:w="1377" w:type="dxa"/>
            <w:gridSpan w:val="2"/>
            <w:tcBorders>
              <w:top w:val="nil"/>
              <w:left w:val="nil"/>
              <w:bottom w:val="nil"/>
              <w:right w:val="nil"/>
            </w:tcBorders>
            <w:shd w:val="clear" w:color="auto" w:fill="auto"/>
            <w:noWrap/>
            <w:hideMark/>
          </w:tcPr>
          <w:p w14:paraId="411E9CFD" w14:textId="77777777" w:rsidR="0002316A" w:rsidRPr="00C66BD5" w:rsidRDefault="0002316A" w:rsidP="005F3681">
            <w:pPr>
              <w:jc w:val="center"/>
              <w:rPr>
                <w:rFonts w:ascii="Arial" w:eastAsia="Times New Roman" w:hAnsi="Arial" w:cs="Arial"/>
                <w:color w:val="000000"/>
                <w:sz w:val="22"/>
                <w:szCs w:val="22"/>
                <w:lang w:val="en-GB"/>
              </w:rPr>
            </w:pPr>
            <w:r>
              <w:rPr>
                <w:rFonts w:ascii="Arial" w:eastAsia="Times New Roman" w:hAnsi="Arial" w:cs="Arial"/>
                <w:color w:val="000000"/>
                <w:sz w:val="22"/>
                <w:szCs w:val="22"/>
                <w:lang w:val="en-GB"/>
              </w:rPr>
              <w:t>21</w:t>
            </w:r>
          </w:p>
        </w:tc>
        <w:tc>
          <w:tcPr>
            <w:tcW w:w="1956" w:type="dxa"/>
            <w:gridSpan w:val="4"/>
            <w:tcBorders>
              <w:top w:val="nil"/>
              <w:left w:val="nil"/>
              <w:bottom w:val="nil"/>
              <w:right w:val="nil"/>
            </w:tcBorders>
            <w:shd w:val="clear" w:color="auto" w:fill="auto"/>
            <w:noWrap/>
            <w:vAlign w:val="bottom"/>
            <w:hideMark/>
          </w:tcPr>
          <w:p w14:paraId="4E7977B1"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226</w:t>
            </w:r>
          </w:p>
        </w:tc>
        <w:tc>
          <w:tcPr>
            <w:tcW w:w="915" w:type="dxa"/>
            <w:gridSpan w:val="2"/>
            <w:tcBorders>
              <w:top w:val="nil"/>
              <w:left w:val="nil"/>
              <w:bottom w:val="nil"/>
              <w:right w:val="nil"/>
            </w:tcBorders>
            <w:shd w:val="clear" w:color="auto" w:fill="auto"/>
            <w:noWrap/>
            <w:vAlign w:val="bottom"/>
            <w:hideMark/>
          </w:tcPr>
          <w:p w14:paraId="24F19CB7"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-58.5</w:t>
            </w:r>
          </w:p>
        </w:tc>
        <w:tc>
          <w:tcPr>
            <w:tcW w:w="915" w:type="dxa"/>
            <w:gridSpan w:val="2"/>
            <w:tcBorders>
              <w:top w:val="nil"/>
              <w:left w:val="nil"/>
              <w:bottom w:val="nil"/>
              <w:right w:val="nil"/>
            </w:tcBorders>
            <w:shd w:val="clear" w:color="auto" w:fill="auto"/>
            <w:noWrap/>
            <w:vAlign w:val="bottom"/>
            <w:hideMark/>
          </w:tcPr>
          <w:p w14:paraId="6415E308"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-14.8</w:t>
            </w:r>
          </w:p>
        </w:tc>
        <w:tc>
          <w:tcPr>
            <w:tcW w:w="915" w:type="dxa"/>
            <w:gridSpan w:val="2"/>
            <w:tcBorders>
              <w:top w:val="nil"/>
              <w:left w:val="nil"/>
              <w:bottom w:val="nil"/>
              <w:right w:val="nil"/>
            </w:tcBorders>
            <w:shd w:val="clear" w:color="auto" w:fill="auto"/>
            <w:noWrap/>
            <w:vAlign w:val="bottom"/>
            <w:hideMark/>
          </w:tcPr>
          <w:p w14:paraId="36B39FD8"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-15.6</w:t>
            </w:r>
          </w:p>
        </w:tc>
        <w:tc>
          <w:tcPr>
            <w:tcW w:w="1126" w:type="dxa"/>
            <w:tcBorders>
              <w:top w:val="nil"/>
              <w:left w:val="nil"/>
              <w:bottom w:val="nil"/>
              <w:right w:val="nil"/>
            </w:tcBorders>
            <w:shd w:val="clear" w:color="auto" w:fill="auto"/>
            <w:noWrap/>
            <w:vAlign w:val="bottom"/>
            <w:hideMark/>
          </w:tcPr>
          <w:p w14:paraId="2407F790"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-2.334</w:t>
            </w:r>
          </w:p>
        </w:tc>
      </w:tr>
      <w:tr w:rsidR="0002316A" w:rsidRPr="00C66BD5" w14:paraId="0FB2A4D0" w14:textId="77777777" w:rsidTr="005F3681">
        <w:trPr>
          <w:trHeight w:val="300"/>
        </w:trPr>
        <w:tc>
          <w:tcPr>
            <w:tcW w:w="1829" w:type="dxa"/>
            <w:gridSpan w:val="2"/>
            <w:tcBorders>
              <w:top w:val="nil"/>
              <w:left w:val="nil"/>
              <w:bottom w:val="nil"/>
              <w:right w:val="nil"/>
            </w:tcBorders>
            <w:shd w:val="clear" w:color="auto" w:fill="auto"/>
            <w:noWrap/>
            <w:vAlign w:val="bottom"/>
            <w:hideMark/>
          </w:tcPr>
          <w:p w14:paraId="05D2825F" w14:textId="77777777" w:rsidR="0002316A" w:rsidRPr="00C66BD5" w:rsidRDefault="0002316A" w:rsidP="005F3681">
            <w:pPr>
              <w:rPr>
                <w:rFonts w:ascii="Arial" w:eastAsia="Times New Roman" w:hAnsi="Arial" w:cs="Arial"/>
                <w:color w:val="000000"/>
                <w:sz w:val="22"/>
                <w:szCs w:val="22"/>
                <w:lang w:val="en-GB"/>
              </w:rPr>
            </w:pPr>
          </w:p>
        </w:tc>
        <w:tc>
          <w:tcPr>
            <w:tcW w:w="1256" w:type="dxa"/>
            <w:gridSpan w:val="2"/>
            <w:tcBorders>
              <w:top w:val="nil"/>
              <w:left w:val="nil"/>
              <w:bottom w:val="nil"/>
              <w:right w:val="nil"/>
            </w:tcBorders>
            <w:shd w:val="clear" w:color="auto" w:fill="auto"/>
            <w:noWrap/>
            <w:vAlign w:val="bottom"/>
            <w:hideMark/>
          </w:tcPr>
          <w:p w14:paraId="77E03200"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18</w:t>
            </w:r>
          </w:p>
        </w:tc>
        <w:tc>
          <w:tcPr>
            <w:tcW w:w="3376" w:type="dxa"/>
            <w:gridSpan w:val="2"/>
            <w:tcBorders>
              <w:top w:val="nil"/>
              <w:left w:val="nil"/>
              <w:bottom w:val="nil"/>
              <w:right w:val="nil"/>
            </w:tcBorders>
            <w:shd w:val="clear" w:color="auto" w:fill="auto"/>
            <w:noWrap/>
            <w:vAlign w:val="bottom"/>
            <w:hideMark/>
          </w:tcPr>
          <w:p w14:paraId="6EEB32BE"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supramarginal</w:t>
            </w:r>
          </w:p>
        </w:tc>
        <w:tc>
          <w:tcPr>
            <w:tcW w:w="815" w:type="dxa"/>
            <w:gridSpan w:val="2"/>
            <w:tcBorders>
              <w:top w:val="nil"/>
              <w:left w:val="nil"/>
              <w:bottom w:val="nil"/>
              <w:right w:val="nil"/>
            </w:tcBorders>
            <w:shd w:val="clear" w:color="auto" w:fill="auto"/>
            <w:noWrap/>
            <w:hideMark/>
          </w:tcPr>
          <w:p w14:paraId="50068FE5"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L</w:t>
            </w:r>
          </w:p>
        </w:tc>
        <w:tc>
          <w:tcPr>
            <w:tcW w:w="1377" w:type="dxa"/>
            <w:gridSpan w:val="2"/>
            <w:tcBorders>
              <w:top w:val="nil"/>
              <w:left w:val="nil"/>
              <w:bottom w:val="nil"/>
              <w:right w:val="nil"/>
            </w:tcBorders>
            <w:shd w:val="clear" w:color="auto" w:fill="auto"/>
            <w:noWrap/>
            <w:hideMark/>
          </w:tcPr>
          <w:p w14:paraId="26CB1B2F" w14:textId="77777777" w:rsidR="0002316A" w:rsidRPr="00C66BD5" w:rsidRDefault="0002316A" w:rsidP="005F3681">
            <w:pPr>
              <w:jc w:val="center"/>
              <w:rPr>
                <w:rFonts w:ascii="Arial" w:eastAsia="Times New Roman" w:hAnsi="Arial" w:cs="Arial"/>
                <w:color w:val="000000"/>
                <w:sz w:val="22"/>
                <w:szCs w:val="22"/>
                <w:lang w:val="en-GB"/>
              </w:rPr>
            </w:pPr>
            <w:r>
              <w:rPr>
                <w:rFonts w:ascii="Arial" w:eastAsia="Times New Roman" w:hAnsi="Arial" w:cs="Arial"/>
                <w:color w:val="000000"/>
                <w:sz w:val="22"/>
                <w:szCs w:val="22"/>
                <w:lang w:val="en-GB"/>
              </w:rPr>
              <w:t>40</w:t>
            </w:r>
          </w:p>
        </w:tc>
        <w:tc>
          <w:tcPr>
            <w:tcW w:w="1956" w:type="dxa"/>
            <w:gridSpan w:val="4"/>
            <w:tcBorders>
              <w:top w:val="nil"/>
              <w:left w:val="nil"/>
              <w:bottom w:val="nil"/>
              <w:right w:val="nil"/>
            </w:tcBorders>
            <w:shd w:val="clear" w:color="auto" w:fill="auto"/>
            <w:noWrap/>
            <w:vAlign w:val="bottom"/>
            <w:hideMark/>
          </w:tcPr>
          <w:p w14:paraId="58DEAF7E"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207</w:t>
            </w:r>
          </w:p>
        </w:tc>
        <w:tc>
          <w:tcPr>
            <w:tcW w:w="915" w:type="dxa"/>
            <w:gridSpan w:val="2"/>
            <w:tcBorders>
              <w:top w:val="nil"/>
              <w:left w:val="nil"/>
              <w:bottom w:val="nil"/>
              <w:right w:val="nil"/>
            </w:tcBorders>
            <w:shd w:val="clear" w:color="auto" w:fill="auto"/>
            <w:noWrap/>
            <w:vAlign w:val="bottom"/>
            <w:hideMark/>
          </w:tcPr>
          <w:p w14:paraId="71FF514F"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-53.6</w:t>
            </w:r>
          </w:p>
        </w:tc>
        <w:tc>
          <w:tcPr>
            <w:tcW w:w="915" w:type="dxa"/>
            <w:gridSpan w:val="2"/>
            <w:tcBorders>
              <w:top w:val="nil"/>
              <w:left w:val="nil"/>
              <w:bottom w:val="nil"/>
              <w:right w:val="nil"/>
            </w:tcBorders>
            <w:shd w:val="clear" w:color="auto" w:fill="auto"/>
            <w:noWrap/>
            <w:vAlign w:val="bottom"/>
            <w:hideMark/>
          </w:tcPr>
          <w:p w14:paraId="6ADF2A0D"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-25.1</w:t>
            </w:r>
          </w:p>
        </w:tc>
        <w:tc>
          <w:tcPr>
            <w:tcW w:w="915" w:type="dxa"/>
            <w:gridSpan w:val="2"/>
            <w:tcBorders>
              <w:top w:val="nil"/>
              <w:left w:val="nil"/>
              <w:bottom w:val="nil"/>
              <w:right w:val="nil"/>
            </w:tcBorders>
            <w:shd w:val="clear" w:color="auto" w:fill="auto"/>
            <w:noWrap/>
            <w:vAlign w:val="bottom"/>
            <w:hideMark/>
          </w:tcPr>
          <w:p w14:paraId="0E5D135C"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18.7</w:t>
            </w:r>
          </w:p>
        </w:tc>
        <w:tc>
          <w:tcPr>
            <w:tcW w:w="1126" w:type="dxa"/>
            <w:tcBorders>
              <w:top w:val="nil"/>
              <w:left w:val="nil"/>
              <w:bottom w:val="nil"/>
              <w:right w:val="nil"/>
            </w:tcBorders>
            <w:shd w:val="clear" w:color="auto" w:fill="auto"/>
            <w:noWrap/>
            <w:vAlign w:val="bottom"/>
            <w:hideMark/>
          </w:tcPr>
          <w:p w14:paraId="23BC73C9"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-2.26</w:t>
            </w:r>
          </w:p>
        </w:tc>
      </w:tr>
      <w:tr w:rsidR="0002316A" w:rsidRPr="00C66BD5" w14:paraId="7716369C" w14:textId="77777777" w:rsidTr="005F3681">
        <w:trPr>
          <w:trHeight w:val="300"/>
        </w:trPr>
        <w:tc>
          <w:tcPr>
            <w:tcW w:w="1829" w:type="dxa"/>
            <w:gridSpan w:val="2"/>
            <w:tcBorders>
              <w:top w:val="nil"/>
              <w:left w:val="nil"/>
              <w:bottom w:val="nil"/>
              <w:right w:val="nil"/>
            </w:tcBorders>
            <w:shd w:val="clear" w:color="auto" w:fill="auto"/>
            <w:noWrap/>
            <w:vAlign w:val="bottom"/>
            <w:hideMark/>
          </w:tcPr>
          <w:p w14:paraId="53697B48" w14:textId="77777777" w:rsidR="0002316A" w:rsidRPr="00C66BD5" w:rsidRDefault="0002316A" w:rsidP="005F3681">
            <w:pPr>
              <w:rPr>
                <w:rFonts w:ascii="Arial" w:eastAsia="Times New Roman" w:hAnsi="Arial" w:cs="Arial"/>
                <w:color w:val="000000"/>
                <w:sz w:val="22"/>
                <w:szCs w:val="22"/>
                <w:lang w:val="en-GB"/>
              </w:rPr>
            </w:pPr>
          </w:p>
        </w:tc>
        <w:tc>
          <w:tcPr>
            <w:tcW w:w="1256" w:type="dxa"/>
            <w:gridSpan w:val="2"/>
            <w:tcBorders>
              <w:top w:val="nil"/>
              <w:left w:val="nil"/>
              <w:bottom w:val="nil"/>
              <w:right w:val="nil"/>
            </w:tcBorders>
            <w:shd w:val="clear" w:color="auto" w:fill="auto"/>
            <w:noWrap/>
            <w:vAlign w:val="bottom"/>
            <w:hideMark/>
          </w:tcPr>
          <w:p w14:paraId="10AB4A15" w14:textId="77777777" w:rsidR="0002316A" w:rsidRPr="00C66BD5" w:rsidRDefault="0002316A" w:rsidP="005F3681">
            <w:pPr>
              <w:rPr>
                <w:rFonts w:ascii="Arial" w:eastAsia="Times New Roman" w:hAnsi="Arial" w:cs="Arial"/>
                <w:color w:val="000000"/>
                <w:sz w:val="22"/>
                <w:szCs w:val="22"/>
                <w:lang w:val="en-GB"/>
              </w:rPr>
            </w:pPr>
          </w:p>
        </w:tc>
        <w:tc>
          <w:tcPr>
            <w:tcW w:w="3376" w:type="dxa"/>
            <w:gridSpan w:val="2"/>
            <w:tcBorders>
              <w:top w:val="nil"/>
              <w:left w:val="nil"/>
              <w:bottom w:val="nil"/>
              <w:right w:val="nil"/>
            </w:tcBorders>
            <w:shd w:val="clear" w:color="auto" w:fill="auto"/>
            <w:noWrap/>
            <w:vAlign w:val="bottom"/>
            <w:hideMark/>
          </w:tcPr>
          <w:p w14:paraId="1645C1B4" w14:textId="77777777" w:rsidR="0002316A" w:rsidRPr="00C66BD5" w:rsidRDefault="0002316A" w:rsidP="005F3681">
            <w:pPr>
              <w:rPr>
                <w:rFonts w:ascii="Arial" w:eastAsia="Times New Roman" w:hAnsi="Arial" w:cs="Arial"/>
                <w:color w:val="000000"/>
                <w:sz w:val="22"/>
                <w:szCs w:val="22"/>
                <w:lang w:val="en-GB"/>
              </w:rPr>
            </w:pPr>
          </w:p>
        </w:tc>
        <w:tc>
          <w:tcPr>
            <w:tcW w:w="815" w:type="dxa"/>
            <w:gridSpan w:val="2"/>
            <w:tcBorders>
              <w:top w:val="nil"/>
              <w:left w:val="nil"/>
              <w:bottom w:val="nil"/>
              <w:right w:val="nil"/>
            </w:tcBorders>
            <w:shd w:val="clear" w:color="auto" w:fill="auto"/>
            <w:noWrap/>
            <w:vAlign w:val="bottom"/>
            <w:hideMark/>
          </w:tcPr>
          <w:p w14:paraId="0D24C11A" w14:textId="77777777" w:rsidR="0002316A" w:rsidRPr="00C66BD5" w:rsidRDefault="0002316A" w:rsidP="005F3681">
            <w:pPr>
              <w:rPr>
                <w:rFonts w:ascii="Arial" w:eastAsia="Times New Roman" w:hAnsi="Arial" w:cs="Arial"/>
                <w:color w:val="000000"/>
                <w:sz w:val="22"/>
                <w:szCs w:val="22"/>
                <w:lang w:val="en-GB"/>
              </w:rPr>
            </w:pPr>
          </w:p>
        </w:tc>
        <w:tc>
          <w:tcPr>
            <w:tcW w:w="1377" w:type="dxa"/>
            <w:gridSpan w:val="2"/>
            <w:tcBorders>
              <w:top w:val="nil"/>
              <w:left w:val="nil"/>
              <w:bottom w:val="nil"/>
              <w:right w:val="nil"/>
            </w:tcBorders>
            <w:shd w:val="clear" w:color="auto" w:fill="auto"/>
            <w:noWrap/>
            <w:vAlign w:val="bottom"/>
            <w:hideMark/>
          </w:tcPr>
          <w:p w14:paraId="5610CA73" w14:textId="77777777" w:rsidR="0002316A" w:rsidRPr="00C66BD5" w:rsidRDefault="0002316A" w:rsidP="005F3681">
            <w:pPr>
              <w:rPr>
                <w:rFonts w:ascii="Arial" w:eastAsia="Times New Roman" w:hAnsi="Arial" w:cs="Arial"/>
                <w:color w:val="000000"/>
                <w:sz w:val="22"/>
                <w:szCs w:val="22"/>
                <w:lang w:val="en-GB"/>
              </w:rPr>
            </w:pPr>
          </w:p>
        </w:tc>
        <w:tc>
          <w:tcPr>
            <w:tcW w:w="1956" w:type="dxa"/>
            <w:gridSpan w:val="4"/>
            <w:tcBorders>
              <w:top w:val="nil"/>
              <w:left w:val="nil"/>
              <w:bottom w:val="nil"/>
              <w:right w:val="nil"/>
            </w:tcBorders>
            <w:shd w:val="clear" w:color="auto" w:fill="auto"/>
            <w:noWrap/>
            <w:vAlign w:val="bottom"/>
            <w:hideMark/>
          </w:tcPr>
          <w:p w14:paraId="5D338CF8" w14:textId="77777777" w:rsidR="0002316A" w:rsidRPr="00C66BD5" w:rsidRDefault="0002316A" w:rsidP="005F3681">
            <w:pPr>
              <w:rPr>
                <w:rFonts w:ascii="Arial" w:eastAsia="Times New Roman" w:hAnsi="Arial" w:cs="Arial"/>
                <w:color w:val="000000"/>
                <w:sz w:val="22"/>
                <w:szCs w:val="22"/>
                <w:lang w:val="en-GB"/>
              </w:rPr>
            </w:pPr>
          </w:p>
        </w:tc>
        <w:tc>
          <w:tcPr>
            <w:tcW w:w="915" w:type="dxa"/>
            <w:gridSpan w:val="2"/>
            <w:tcBorders>
              <w:top w:val="nil"/>
              <w:left w:val="nil"/>
              <w:bottom w:val="nil"/>
              <w:right w:val="nil"/>
            </w:tcBorders>
            <w:shd w:val="clear" w:color="auto" w:fill="auto"/>
            <w:noWrap/>
            <w:vAlign w:val="bottom"/>
            <w:hideMark/>
          </w:tcPr>
          <w:p w14:paraId="1DB3F537" w14:textId="77777777" w:rsidR="0002316A" w:rsidRPr="00C66BD5" w:rsidRDefault="0002316A" w:rsidP="005F3681">
            <w:pPr>
              <w:rPr>
                <w:rFonts w:ascii="Arial" w:eastAsia="Times New Roman" w:hAnsi="Arial" w:cs="Arial"/>
                <w:color w:val="000000"/>
                <w:sz w:val="22"/>
                <w:szCs w:val="22"/>
                <w:lang w:val="en-GB"/>
              </w:rPr>
            </w:pPr>
          </w:p>
        </w:tc>
        <w:tc>
          <w:tcPr>
            <w:tcW w:w="915" w:type="dxa"/>
            <w:gridSpan w:val="2"/>
            <w:tcBorders>
              <w:top w:val="nil"/>
              <w:left w:val="nil"/>
              <w:bottom w:val="nil"/>
              <w:right w:val="nil"/>
            </w:tcBorders>
            <w:shd w:val="clear" w:color="auto" w:fill="auto"/>
            <w:noWrap/>
            <w:vAlign w:val="bottom"/>
            <w:hideMark/>
          </w:tcPr>
          <w:p w14:paraId="1BD300C5" w14:textId="77777777" w:rsidR="0002316A" w:rsidRPr="00C66BD5" w:rsidRDefault="0002316A" w:rsidP="005F3681">
            <w:pPr>
              <w:rPr>
                <w:rFonts w:ascii="Arial" w:eastAsia="Times New Roman" w:hAnsi="Arial" w:cs="Arial"/>
                <w:color w:val="000000"/>
                <w:sz w:val="22"/>
                <w:szCs w:val="22"/>
                <w:lang w:val="en-GB"/>
              </w:rPr>
            </w:pPr>
          </w:p>
        </w:tc>
        <w:tc>
          <w:tcPr>
            <w:tcW w:w="915" w:type="dxa"/>
            <w:gridSpan w:val="2"/>
            <w:tcBorders>
              <w:top w:val="nil"/>
              <w:left w:val="nil"/>
              <w:bottom w:val="nil"/>
              <w:right w:val="nil"/>
            </w:tcBorders>
            <w:shd w:val="clear" w:color="auto" w:fill="auto"/>
            <w:noWrap/>
            <w:vAlign w:val="bottom"/>
            <w:hideMark/>
          </w:tcPr>
          <w:p w14:paraId="08D14B7A" w14:textId="77777777" w:rsidR="0002316A" w:rsidRPr="00C66BD5" w:rsidRDefault="0002316A" w:rsidP="005F3681">
            <w:pPr>
              <w:rPr>
                <w:rFonts w:ascii="Arial" w:eastAsia="Times New Roman" w:hAnsi="Arial" w:cs="Arial"/>
                <w:color w:val="000000"/>
                <w:sz w:val="22"/>
                <w:szCs w:val="22"/>
                <w:lang w:val="en-GB"/>
              </w:rPr>
            </w:pPr>
          </w:p>
        </w:tc>
        <w:tc>
          <w:tcPr>
            <w:tcW w:w="1126" w:type="dxa"/>
            <w:tcBorders>
              <w:top w:val="nil"/>
              <w:left w:val="nil"/>
              <w:bottom w:val="nil"/>
              <w:right w:val="nil"/>
            </w:tcBorders>
            <w:shd w:val="clear" w:color="auto" w:fill="auto"/>
            <w:noWrap/>
            <w:vAlign w:val="bottom"/>
            <w:hideMark/>
          </w:tcPr>
          <w:p w14:paraId="60494CDA" w14:textId="77777777" w:rsidR="0002316A" w:rsidRPr="00C66BD5" w:rsidRDefault="0002316A" w:rsidP="005F3681">
            <w:pPr>
              <w:rPr>
                <w:rFonts w:ascii="Arial" w:eastAsia="Times New Roman" w:hAnsi="Arial" w:cs="Arial"/>
                <w:color w:val="000000"/>
                <w:sz w:val="22"/>
                <w:szCs w:val="22"/>
                <w:lang w:val="en-GB"/>
              </w:rPr>
            </w:pPr>
          </w:p>
        </w:tc>
      </w:tr>
      <w:tr w:rsidR="0002316A" w:rsidRPr="00C66BD5" w14:paraId="359712BD" w14:textId="77777777" w:rsidTr="005F3681">
        <w:trPr>
          <w:trHeight w:val="300"/>
        </w:trPr>
        <w:tc>
          <w:tcPr>
            <w:tcW w:w="1829" w:type="dxa"/>
            <w:gridSpan w:val="2"/>
            <w:tcBorders>
              <w:top w:val="nil"/>
              <w:left w:val="nil"/>
              <w:bottom w:val="nil"/>
              <w:right w:val="nil"/>
            </w:tcBorders>
            <w:shd w:val="clear" w:color="auto" w:fill="auto"/>
            <w:noWrap/>
            <w:vAlign w:val="bottom"/>
            <w:hideMark/>
          </w:tcPr>
          <w:p w14:paraId="2A3A02B2"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CV</w:t>
            </w:r>
          </w:p>
        </w:tc>
        <w:tc>
          <w:tcPr>
            <w:tcW w:w="1256" w:type="dxa"/>
            <w:gridSpan w:val="2"/>
            <w:tcBorders>
              <w:top w:val="nil"/>
              <w:left w:val="nil"/>
              <w:bottom w:val="nil"/>
              <w:right w:val="nil"/>
            </w:tcBorders>
            <w:shd w:val="clear" w:color="auto" w:fill="auto"/>
            <w:noWrap/>
            <w:vAlign w:val="bottom"/>
            <w:hideMark/>
          </w:tcPr>
          <w:p w14:paraId="0E86429B"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1</w:t>
            </w:r>
          </w:p>
        </w:tc>
        <w:tc>
          <w:tcPr>
            <w:tcW w:w="3376" w:type="dxa"/>
            <w:gridSpan w:val="2"/>
            <w:tcBorders>
              <w:top w:val="nil"/>
              <w:left w:val="nil"/>
              <w:bottom w:val="nil"/>
              <w:right w:val="nil"/>
            </w:tcBorders>
            <w:shd w:val="clear" w:color="auto" w:fill="auto"/>
            <w:noWrap/>
            <w:vAlign w:val="bottom"/>
            <w:hideMark/>
          </w:tcPr>
          <w:p w14:paraId="4FB5E2EA"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superiorparietal</w:t>
            </w:r>
          </w:p>
        </w:tc>
        <w:tc>
          <w:tcPr>
            <w:tcW w:w="815" w:type="dxa"/>
            <w:gridSpan w:val="2"/>
            <w:tcBorders>
              <w:top w:val="nil"/>
              <w:left w:val="nil"/>
              <w:bottom w:val="nil"/>
              <w:right w:val="nil"/>
            </w:tcBorders>
            <w:shd w:val="clear" w:color="auto" w:fill="auto"/>
            <w:noWrap/>
            <w:hideMark/>
          </w:tcPr>
          <w:p w14:paraId="0FCF041A"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R</w:t>
            </w:r>
          </w:p>
        </w:tc>
        <w:tc>
          <w:tcPr>
            <w:tcW w:w="1377" w:type="dxa"/>
            <w:gridSpan w:val="2"/>
            <w:tcBorders>
              <w:top w:val="nil"/>
              <w:left w:val="nil"/>
              <w:bottom w:val="nil"/>
              <w:right w:val="nil"/>
            </w:tcBorders>
            <w:shd w:val="clear" w:color="auto" w:fill="auto"/>
            <w:noWrap/>
            <w:hideMark/>
          </w:tcPr>
          <w:p w14:paraId="13DD0BCD" w14:textId="77777777" w:rsidR="0002316A" w:rsidRPr="00C66BD5" w:rsidRDefault="0002316A" w:rsidP="005F3681">
            <w:pPr>
              <w:jc w:val="center"/>
              <w:rPr>
                <w:rFonts w:ascii="Arial" w:eastAsia="Times New Roman" w:hAnsi="Arial" w:cs="Arial"/>
                <w:color w:val="000000"/>
                <w:sz w:val="22"/>
                <w:szCs w:val="22"/>
                <w:lang w:val="en-GB"/>
              </w:rPr>
            </w:pPr>
            <w:r>
              <w:rPr>
                <w:rFonts w:ascii="Arial" w:eastAsia="Times New Roman" w:hAnsi="Arial" w:cs="Arial"/>
                <w:color w:val="000000"/>
                <w:sz w:val="22"/>
                <w:szCs w:val="22"/>
                <w:lang w:val="en-GB"/>
              </w:rPr>
              <w:t>40</w:t>
            </w:r>
          </w:p>
        </w:tc>
        <w:tc>
          <w:tcPr>
            <w:tcW w:w="1956" w:type="dxa"/>
            <w:gridSpan w:val="4"/>
            <w:tcBorders>
              <w:top w:val="nil"/>
              <w:left w:val="nil"/>
              <w:bottom w:val="nil"/>
              <w:right w:val="nil"/>
            </w:tcBorders>
            <w:shd w:val="clear" w:color="auto" w:fill="auto"/>
            <w:noWrap/>
            <w:vAlign w:val="bottom"/>
            <w:hideMark/>
          </w:tcPr>
          <w:p w14:paraId="221A6D59"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887</w:t>
            </w:r>
          </w:p>
        </w:tc>
        <w:tc>
          <w:tcPr>
            <w:tcW w:w="915" w:type="dxa"/>
            <w:gridSpan w:val="2"/>
            <w:tcBorders>
              <w:top w:val="nil"/>
              <w:left w:val="nil"/>
              <w:bottom w:val="nil"/>
              <w:right w:val="nil"/>
            </w:tcBorders>
            <w:shd w:val="clear" w:color="auto" w:fill="auto"/>
            <w:noWrap/>
            <w:vAlign w:val="bottom"/>
            <w:hideMark/>
          </w:tcPr>
          <w:p w14:paraId="6AE1B9CF"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30</w:t>
            </w:r>
          </w:p>
        </w:tc>
        <w:tc>
          <w:tcPr>
            <w:tcW w:w="915" w:type="dxa"/>
            <w:gridSpan w:val="2"/>
            <w:tcBorders>
              <w:top w:val="nil"/>
              <w:left w:val="nil"/>
              <w:bottom w:val="nil"/>
              <w:right w:val="nil"/>
            </w:tcBorders>
            <w:shd w:val="clear" w:color="auto" w:fill="auto"/>
            <w:noWrap/>
            <w:vAlign w:val="bottom"/>
            <w:hideMark/>
          </w:tcPr>
          <w:p w14:paraId="70A2292A"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-49</w:t>
            </w:r>
          </w:p>
        </w:tc>
        <w:tc>
          <w:tcPr>
            <w:tcW w:w="915" w:type="dxa"/>
            <w:gridSpan w:val="2"/>
            <w:tcBorders>
              <w:top w:val="nil"/>
              <w:left w:val="nil"/>
              <w:bottom w:val="nil"/>
              <w:right w:val="nil"/>
            </w:tcBorders>
            <w:shd w:val="clear" w:color="auto" w:fill="auto"/>
            <w:noWrap/>
            <w:vAlign w:val="bottom"/>
            <w:hideMark/>
          </w:tcPr>
          <w:p w14:paraId="181230EA"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54.7</w:t>
            </w:r>
          </w:p>
        </w:tc>
        <w:tc>
          <w:tcPr>
            <w:tcW w:w="1126" w:type="dxa"/>
            <w:tcBorders>
              <w:top w:val="nil"/>
              <w:left w:val="nil"/>
              <w:bottom w:val="nil"/>
              <w:right w:val="nil"/>
            </w:tcBorders>
            <w:shd w:val="clear" w:color="auto" w:fill="auto"/>
            <w:noWrap/>
            <w:vAlign w:val="bottom"/>
            <w:hideMark/>
          </w:tcPr>
          <w:p w14:paraId="0CEB2FD7"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-2.749</w:t>
            </w:r>
          </w:p>
        </w:tc>
      </w:tr>
      <w:tr w:rsidR="0002316A" w:rsidRPr="00C66BD5" w14:paraId="1C0195EC" w14:textId="77777777" w:rsidTr="005F3681">
        <w:trPr>
          <w:trHeight w:val="333"/>
        </w:trPr>
        <w:tc>
          <w:tcPr>
            <w:tcW w:w="1829" w:type="dxa"/>
            <w:gridSpan w:val="2"/>
            <w:tcBorders>
              <w:top w:val="nil"/>
              <w:left w:val="nil"/>
              <w:bottom w:val="nil"/>
              <w:right w:val="nil"/>
            </w:tcBorders>
            <w:shd w:val="clear" w:color="auto" w:fill="auto"/>
            <w:noWrap/>
            <w:vAlign w:val="bottom"/>
            <w:hideMark/>
          </w:tcPr>
          <w:p w14:paraId="7FB6A902" w14:textId="77777777" w:rsidR="0002316A" w:rsidRPr="00C66BD5" w:rsidRDefault="0002316A" w:rsidP="005F3681">
            <w:pPr>
              <w:rPr>
                <w:rFonts w:ascii="Arial" w:eastAsia="Times New Roman" w:hAnsi="Arial" w:cs="Arial"/>
                <w:color w:val="000000"/>
                <w:sz w:val="22"/>
                <w:szCs w:val="22"/>
                <w:lang w:val="en-GB"/>
              </w:rPr>
            </w:pPr>
          </w:p>
        </w:tc>
        <w:tc>
          <w:tcPr>
            <w:tcW w:w="1256" w:type="dxa"/>
            <w:gridSpan w:val="2"/>
            <w:tcBorders>
              <w:top w:val="nil"/>
              <w:left w:val="nil"/>
              <w:bottom w:val="nil"/>
              <w:right w:val="nil"/>
            </w:tcBorders>
            <w:shd w:val="clear" w:color="auto" w:fill="auto"/>
            <w:noWrap/>
            <w:vAlign w:val="bottom"/>
            <w:hideMark/>
          </w:tcPr>
          <w:p w14:paraId="1D7EB574"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w:t>
            </w:r>
          </w:p>
        </w:tc>
        <w:tc>
          <w:tcPr>
            <w:tcW w:w="3376" w:type="dxa"/>
            <w:gridSpan w:val="2"/>
            <w:tcBorders>
              <w:top w:val="nil"/>
              <w:left w:val="nil"/>
              <w:bottom w:val="nil"/>
              <w:right w:val="nil"/>
            </w:tcBorders>
            <w:shd w:val="clear" w:color="auto" w:fill="auto"/>
            <w:noWrap/>
            <w:vAlign w:val="bottom"/>
            <w:hideMark/>
          </w:tcPr>
          <w:p w14:paraId="2103E335"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paracentral</w:t>
            </w:r>
          </w:p>
        </w:tc>
        <w:tc>
          <w:tcPr>
            <w:tcW w:w="815" w:type="dxa"/>
            <w:gridSpan w:val="2"/>
            <w:tcBorders>
              <w:top w:val="nil"/>
              <w:left w:val="nil"/>
              <w:bottom w:val="nil"/>
              <w:right w:val="nil"/>
            </w:tcBorders>
            <w:shd w:val="clear" w:color="auto" w:fill="auto"/>
            <w:noWrap/>
            <w:hideMark/>
          </w:tcPr>
          <w:p w14:paraId="2D302758"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R</w:t>
            </w:r>
          </w:p>
        </w:tc>
        <w:tc>
          <w:tcPr>
            <w:tcW w:w="1377" w:type="dxa"/>
            <w:gridSpan w:val="2"/>
            <w:tcBorders>
              <w:top w:val="nil"/>
              <w:left w:val="nil"/>
              <w:bottom w:val="nil"/>
              <w:right w:val="nil"/>
            </w:tcBorders>
            <w:shd w:val="clear" w:color="auto" w:fill="auto"/>
            <w:noWrap/>
            <w:hideMark/>
          </w:tcPr>
          <w:p w14:paraId="2B623290" w14:textId="77777777" w:rsidR="0002316A" w:rsidRPr="00C66BD5" w:rsidRDefault="0002316A" w:rsidP="005F3681">
            <w:pPr>
              <w:jc w:val="center"/>
              <w:rPr>
                <w:rFonts w:ascii="Arial" w:eastAsia="Times New Roman" w:hAnsi="Arial" w:cs="Arial"/>
                <w:color w:val="000000"/>
                <w:sz w:val="22"/>
                <w:szCs w:val="22"/>
                <w:lang w:val="en-GB"/>
              </w:rPr>
            </w:pPr>
            <w:r>
              <w:rPr>
                <w:rFonts w:ascii="Arial" w:eastAsia="Times New Roman" w:hAnsi="Arial" w:cs="Arial"/>
                <w:color w:val="000000"/>
                <w:sz w:val="22"/>
                <w:szCs w:val="22"/>
                <w:lang w:val="en-GB"/>
              </w:rPr>
              <w:t>31</w:t>
            </w:r>
          </w:p>
        </w:tc>
        <w:tc>
          <w:tcPr>
            <w:tcW w:w="1956" w:type="dxa"/>
            <w:gridSpan w:val="4"/>
            <w:tcBorders>
              <w:top w:val="nil"/>
              <w:left w:val="nil"/>
              <w:bottom w:val="nil"/>
              <w:right w:val="nil"/>
            </w:tcBorders>
            <w:shd w:val="clear" w:color="auto" w:fill="auto"/>
            <w:noWrap/>
            <w:vAlign w:val="bottom"/>
            <w:hideMark/>
          </w:tcPr>
          <w:p w14:paraId="713A7EC0"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957</w:t>
            </w:r>
          </w:p>
        </w:tc>
        <w:tc>
          <w:tcPr>
            <w:tcW w:w="915" w:type="dxa"/>
            <w:gridSpan w:val="2"/>
            <w:tcBorders>
              <w:top w:val="nil"/>
              <w:left w:val="nil"/>
              <w:bottom w:val="nil"/>
              <w:right w:val="nil"/>
            </w:tcBorders>
            <w:shd w:val="clear" w:color="auto" w:fill="auto"/>
            <w:noWrap/>
            <w:vAlign w:val="bottom"/>
            <w:hideMark/>
          </w:tcPr>
          <w:p w14:paraId="6C1D6DAE"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17.1</w:t>
            </w:r>
          </w:p>
        </w:tc>
        <w:tc>
          <w:tcPr>
            <w:tcW w:w="915" w:type="dxa"/>
            <w:gridSpan w:val="2"/>
            <w:tcBorders>
              <w:top w:val="nil"/>
              <w:left w:val="nil"/>
              <w:bottom w:val="nil"/>
              <w:right w:val="nil"/>
            </w:tcBorders>
            <w:shd w:val="clear" w:color="auto" w:fill="auto"/>
            <w:noWrap/>
            <w:vAlign w:val="bottom"/>
            <w:hideMark/>
          </w:tcPr>
          <w:p w14:paraId="400595A3"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-24.6</w:t>
            </w:r>
          </w:p>
        </w:tc>
        <w:tc>
          <w:tcPr>
            <w:tcW w:w="915" w:type="dxa"/>
            <w:gridSpan w:val="2"/>
            <w:tcBorders>
              <w:top w:val="nil"/>
              <w:left w:val="nil"/>
              <w:bottom w:val="nil"/>
              <w:right w:val="nil"/>
            </w:tcBorders>
            <w:shd w:val="clear" w:color="auto" w:fill="auto"/>
            <w:noWrap/>
            <w:vAlign w:val="bottom"/>
            <w:hideMark/>
          </w:tcPr>
          <w:p w14:paraId="314A5792"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37.5</w:t>
            </w:r>
          </w:p>
        </w:tc>
        <w:tc>
          <w:tcPr>
            <w:tcW w:w="1126" w:type="dxa"/>
            <w:tcBorders>
              <w:top w:val="nil"/>
              <w:left w:val="nil"/>
              <w:bottom w:val="nil"/>
              <w:right w:val="nil"/>
            </w:tcBorders>
            <w:shd w:val="clear" w:color="auto" w:fill="auto"/>
            <w:noWrap/>
            <w:vAlign w:val="bottom"/>
            <w:hideMark/>
          </w:tcPr>
          <w:p w14:paraId="0C0E4F37"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2.596</w:t>
            </w:r>
          </w:p>
        </w:tc>
      </w:tr>
      <w:tr w:rsidR="0002316A" w:rsidRPr="00C66BD5" w14:paraId="264B7AD5" w14:textId="77777777" w:rsidTr="005F3681">
        <w:trPr>
          <w:trHeight w:val="300"/>
        </w:trPr>
        <w:tc>
          <w:tcPr>
            <w:tcW w:w="1829" w:type="dxa"/>
            <w:gridSpan w:val="2"/>
            <w:tcBorders>
              <w:top w:val="nil"/>
              <w:left w:val="nil"/>
              <w:bottom w:val="nil"/>
              <w:right w:val="nil"/>
            </w:tcBorders>
            <w:shd w:val="clear" w:color="auto" w:fill="auto"/>
            <w:noWrap/>
            <w:vAlign w:val="bottom"/>
            <w:hideMark/>
          </w:tcPr>
          <w:p w14:paraId="03E14745" w14:textId="77777777" w:rsidR="0002316A" w:rsidRPr="00C66BD5" w:rsidRDefault="0002316A" w:rsidP="005F3681">
            <w:pPr>
              <w:rPr>
                <w:rFonts w:ascii="Arial" w:eastAsia="Times New Roman" w:hAnsi="Arial" w:cs="Arial"/>
                <w:color w:val="000000"/>
                <w:sz w:val="22"/>
                <w:szCs w:val="22"/>
                <w:lang w:val="en-GB"/>
              </w:rPr>
            </w:pPr>
          </w:p>
        </w:tc>
        <w:tc>
          <w:tcPr>
            <w:tcW w:w="1256" w:type="dxa"/>
            <w:gridSpan w:val="2"/>
            <w:tcBorders>
              <w:top w:val="nil"/>
              <w:left w:val="nil"/>
              <w:bottom w:val="nil"/>
              <w:right w:val="nil"/>
            </w:tcBorders>
            <w:shd w:val="clear" w:color="auto" w:fill="auto"/>
            <w:noWrap/>
            <w:vAlign w:val="bottom"/>
            <w:hideMark/>
          </w:tcPr>
          <w:p w14:paraId="7477CEF2"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3</w:t>
            </w:r>
          </w:p>
        </w:tc>
        <w:tc>
          <w:tcPr>
            <w:tcW w:w="3376" w:type="dxa"/>
            <w:gridSpan w:val="2"/>
            <w:tcBorders>
              <w:top w:val="nil"/>
              <w:left w:val="nil"/>
              <w:bottom w:val="nil"/>
              <w:right w:val="nil"/>
            </w:tcBorders>
            <w:shd w:val="clear" w:color="auto" w:fill="auto"/>
            <w:noWrap/>
            <w:vAlign w:val="bottom"/>
            <w:hideMark/>
          </w:tcPr>
          <w:p w14:paraId="334B128D"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lateraloccipital</w:t>
            </w:r>
          </w:p>
        </w:tc>
        <w:tc>
          <w:tcPr>
            <w:tcW w:w="815" w:type="dxa"/>
            <w:gridSpan w:val="2"/>
            <w:tcBorders>
              <w:top w:val="nil"/>
              <w:left w:val="nil"/>
              <w:bottom w:val="nil"/>
              <w:right w:val="nil"/>
            </w:tcBorders>
            <w:shd w:val="clear" w:color="auto" w:fill="auto"/>
            <w:noWrap/>
            <w:hideMark/>
          </w:tcPr>
          <w:p w14:paraId="62136FC8"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R</w:t>
            </w:r>
          </w:p>
        </w:tc>
        <w:tc>
          <w:tcPr>
            <w:tcW w:w="1377" w:type="dxa"/>
            <w:gridSpan w:val="2"/>
            <w:tcBorders>
              <w:top w:val="nil"/>
              <w:left w:val="nil"/>
              <w:bottom w:val="nil"/>
              <w:right w:val="nil"/>
            </w:tcBorders>
            <w:shd w:val="clear" w:color="auto" w:fill="auto"/>
            <w:noWrap/>
            <w:hideMark/>
          </w:tcPr>
          <w:p w14:paraId="1EB42D37" w14:textId="77777777" w:rsidR="0002316A" w:rsidRPr="00C66BD5" w:rsidRDefault="0002316A" w:rsidP="005F3681">
            <w:pPr>
              <w:jc w:val="center"/>
              <w:rPr>
                <w:rFonts w:ascii="Arial" w:eastAsia="Times New Roman" w:hAnsi="Arial" w:cs="Arial"/>
                <w:color w:val="000000"/>
                <w:sz w:val="22"/>
                <w:szCs w:val="22"/>
                <w:lang w:val="en-GB"/>
              </w:rPr>
            </w:pPr>
            <w:r>
              <w:rPr>
                <w:rFonts w:ascii="Arial" w:eastAsia="Times New Roman" w:hAnsi="Arial" w:cs="Arial"/>
                <w:color w:val="000000"/>
                <w:sz w:val="22"/>
                <w:szCs w:val="22"/>
                <w:lang w:val="en-GB"/>
              </w:rPr>
              <w:t>18</w:t>
            </w:r>
          </w:p>
        </w:tc>
        <w:tc>
          <w:tcPr>
            <w:tcW w:w="1956" w:type="dxa"/>
            <w:gridSpan w:val="4"/>
            <w:tcBorders>
              <w:top w:val="nil"/>
              <w:left w:val="nil"/>
              <w:bottom w:val="nil"/>
              <w:right w:val="nil"/>
            </w:tcBorders>
            <w:shd w:val="clear" w:color="auto" w:fill="auto"/>
            <w:noWrap/>
            <w:vAlign w:val="bottom"/>
            <w:hideMark/>
          </w:tcPr>
          <w:p w14:paraId="01375D7E"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419</w:t>
            </w:r>
          </w:p>
        </w:tc>
        <w:tc>
          <w:tcPr>
            <w:tcW w:w="915" w:type="dxa"/>
            <w:gridSpan w:val="2"/>
            <w:tcBorders>
              <w:top w:val="nil"/>
              <w:left w:val="nil"/>
              <w:bottom w:val="nil"/>
              <w:right w:val="nil"/>
            </w:tcBorders>
            <w:shd w:val="clear" w:color="auto" w:fill="auto"/>
            <w:noWrap/>
            <w:vAlign w:val="bottom"/>
            <w:hideMark/>
          </w:tcPr>
          <w:p w14:paraId="440A5B54"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21.7</w:t>
            </w:r>
          </w:p>
        </w:tc>
        <w:tc>
          <w:tcPr>
            <w:tcW w:w="915" w:type="dxa"/>
            <w:gridSpan w:val="2"/>
            <w:tcBorders>
              <w:top w:val="nil"/>
              <w:left w:val="nil"/>
              <w:bottom w:val="nil"/>
              <w:right w:val="nil"/>
            </w:tcBorders>
            <w:shd w:val="clear" w:color="auto" w:fill="auto"/>
            <w:noWrap/>
            <w:vAlign w:val="bottom"/>
            <w:hideMark/>
          </w:tcPr>
          <w:p w14:paraId="5C5E73F7"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-83</w:t>
            </w:r>
          </w:p>
        </w:tc>
        <w:tc>
          <w:tcPr>
            <w:tcW w:w="915" w:type="dxa"/>
            <w:gridSpan w:val="2"/>
            <w:tcBorders>
              <w:top w:val="nil"/>
              <w:left w:val="nil"/>
              <w:bottom w:val="nil"/>
              <w:right w:val="nil"/>
            </w:tcBorders>
            <w:shd w:val="clear" w:color="auto" w:fill="auto"/>
            <w:noWrap/>
            <w:vAlign w:val="bottom"/>
            <w:hideMark/>
          </w:tcPr>
          <w:p w14:paraId="2E93B6DA"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w:t>
            </w:r>
          </w:p>
        </w:tc>
        <w:tc>
          <w:tcPr>
            <w:tcW w:w="1126" w:type="dxa"/>
            <w:tcBorders>
              <w:top w:val="nil"/>
              <w:left w:val="nil"/>
              <w:bottom w:val="nil"/>
              <w:right w:val="nil"/>
            </w:tcBorders>
            <w:shd w:val="clear" w:color="auto" w:fill="auto"/>
            <w:noWrap/>
            <w:vAlign w:val="bottom"/>
            <w:hideMark/>
          </w:tcPr>
          <w:p w14:paraId="73DAA727"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2.775</w:t>
            </w:r>
          </w:p>
        </w:tc>
      </w:tr>
      <w:tr w:rsidR="0002316A" w:rsidRPr="00C66BD5" w14:paraId="69858FEB" w14:textId="77777777" w:rsidTr="005F3681">
        <w:trPr>
          <w:trHeight w:val="300"/>
        </w:trPr>
        <w:tc>
          <w:tcPr>
            <w:tcW w:w="1829" w:type="dxa"/>
            <w:gridSpan w:val="2"/>
            <w:tcBorders>
              <w:top w:val="nil"/>
              <w:left w:val="nil"/>
              <w:bottom w:val="nil"/>
              <w:right w:val="nil"/>
            </w:tcBorders>
            <w:shd w:val="clear" w:color="auto" w:fill="auto"/>
            <w:noWrap/>
            <w:vAlign w:val="bottom"/>
            <w:hideMark/>
          </w:tcPr>
          <w:p w14:paraId="38B3F401" w14:textId="77777777" w:rsidR="0002316A" w:rsidRPr="00C66BD5" w:rsidRDefault="0002316A" w:rsidP="005F3681">
            <w:pPr>
              <w:rPr>
                <w:rFonts w:ascii="Arial" w:eastAsia="Times New Roman" w:hAnsi="Arial" w:cs="Arial"/>
                <w:color w:val="000000"/>
                <w:sz w:val="22"/>
                <w:szCs w:val="22"/>
                <w:lang w:val="en-GB"/>
              </w:rPr>
            </w:pPr>
          </w:p>
        </w:tc>
        <w:tc>
          <w:tcPr>
            <w:tcW w:w="1256" w:type="dxa"/>
            <w:gridSpan w:val="2"/>
            <w:tcBorders>
              <w:top w:val="nil"/>
              <w:left w:val="nil"/>
              <w:bottom w:val="nil"/>
              <w:right w:val="nil"/>
            </w:tcBorders>
            <w:shd w:val="clear" w:color="auto" w:fill="auto"/>
            <w:noWrap/>
            <w:vAlign w:val="bottom"/>
            <w:hideMark/>
          </w:tcPr>
          <w:p w14:paraId="6AA48DCC"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4</w:t>
            </w:r>
          </w:p>
        </w:tc>
        <w:tc>
          <w:tcPr>
            <w:tcW w:w="3376" w:type="dxa"/>
            <w:gridSpan w:val="2"/>
            <w:tcBorders>
              <w:top w:val="nil"/>
              <w:left w:val="nil"/>
              <w:bottom w:val="nil"/>
              <w:right w:val="nil"/>
            </w:tcBorders>
            <w:shd w:val="clear" w:color="auto" w:fill="auto"/>
            <w:noWrap/>
            <w:vAlign w:val="bottom"/>
            <w:hideMark/>
          </w:tcPr>
          <w:p w14:paraId="45E0B73B"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parsorbitalis</w:t>
            </w:r>
          </w:p>
        </w:tc>
        <w:tc>
          <w:tcPr>
            <w:tcW w:w="815" w:type="dxa"/>
            <w:gridSpan w:val="2"/>
            <w:tcBorders>
              <w:top w:val="nil"/>
              <w:left w:val="nil"/>
              <w:bottom w:val="nil"/>
              <w:right w:val="nil"/>
            </w:tcBorders>
            <w:shd w:val="clear" w:color="auto" w:fill="auto"/>
            <w:noWrap/>
            <w:hideMark/>
          </w:tcPr>
          <w:p w14:paraId="58E23064"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R</w:t>
            </w:r>
          </w:p>
        </w:tc>
        <w:tc>
          <w:tcPr>
            <w:tcW w:w="1377" w:type="dxa"/>
            <w:gridSpan w:val="2"/>
            <w:tcBorders>
              <w:top w:val="nil"/>
              <w:left w:val="nil"/>
              <w:bottom w:val="nil"/>
              <w:right w:val="nil"/>
            </w:tcBorders>
            <w:shd w:val="clear" w:color="auto" w:fill="auto"/>
            <w:noWrap/>
            <w:hideMark/>
          </w:tcPr>
          <w:p w14:paraId="786763FC" w14:textId="77777777" w:rsidR="0002316A" w:rsidRPr="00C66BD5" w:rsidRDefault="0002316A" w:rsidP="005F3681">
            <w:pPr>
              <w:jc w:val="center"/>
              <w:rPr>
                <w:rFonts w:ascii="Arial" w:eastAsia="Times New Roman" w:hAnsi="Arial" w:cs="Arial"/>
                <w:color w:val="000000"/>
                <w:sz w:val="22"/>
                <w:szCs w:val="22"/>
                <w:lang w:val="en-GB"/>
              </w:rPr>
            </w:pPr>
            <w:r>
              <w:rPr>
                <w:rFonts w:ascii="Arial" w:eastAsia="Times New Roman" w:hAnsi="Arial" w:cs="Arial"/>
                <w:color w:val="000000"/>
                <w:sz w:val="22"/>
                <w:szCs w:val="22"/>
                <w:lang w:val="en-GB"/>
              </w:rPr>
              <w:t>47</w:t>
            </w:r>
          </w:p>
        </w:tc>
        <w:tc>
          <w:tcPr>
            <w:tcW w:w="1956" w:type="dxa"/>
            <w:gridSpan w:val="4"/>
            <w:tcBorders>
              <w:top w:val="nil"/>
              <w:left w:val="nil"/>
              <w:bottom w:val="nil"/>
              <w:right w:val="nil"/>
            </w:tcBorders>
            <w:shd w:val="clear" w:color="auto" w:fill="auto"/>
            <w:noWrap/>
            <w:vAlign w:val="bottom"/>
            <w:hideMark/>
          </w:tcPr>
          <w:p w14:paraId="3173BDD3"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359</w:t>
            </w:r>
          </w:p>
        </w:tc>
        <w:tc>
          <w:tcPr>
            <w:tcW w:w="915" w:type="dxa"/>
            <w:gridSpan w:val="2"/>
            <w:tcBorders>
              <w:top w:val="nil"/>
              <w:left w:val="nil"/>
              <w:bottom w:val="nil"/>
              <w:right w:val="nil"/>
            </w:tcBorders>
            <w:shd w:val="clear" w:color="auto" w:fill="auto"/>
            <w:noWrap/>
            <w:vAlign w:val="bottom"/>
            <w:hideMark/>
          </w:tcPr>
          <w:p w14:paraId="4046041F"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44.4</w:t>
            </w:r>
          </w:p>
        </w:tc>
        <w:tc>
          <w:tcPr>
            <w:tcW w:w="915" w:type="dxa"/>
            <w:gridSpan w:val="2"/>
            <w:tcBorders>
              <w:top w:val="nil"/>
              <w:left w:val="nil"/>
              <w:bottom w:val="nil"/>
              <w:right w:val="nil"/>
            </w:tcBorders>
            <w:shd w:val="clear" w:color="auto" w:fill="auto"/>
            <w:noWrap/>
            <w:vAlign w:val="bottom"/>
            <w:hideMark/>
          </w:tcPr>
          <w:p w14:paraId="5918E324"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36.4</w:t>
            </w:r>
          </w:p>
        </w:tc>
        <w:tc>
          <w:tcPr>
            <w:tcW w:w="915" w:type="dxa"/>
            <w:gridSpan w:val="2"/>
            <w:tcBorders>
              <w:top w:val="nil"/>
              <w:left w:val="nil"/>
              <w:bottom w:val="nil"/>
              <w:right w:val="nil"/>
            </w:tcBorders>
            <w:shd w:val="clear" w:color="auto" w:fill="auto"/>
            <w:noWrap/>
            <w:vAlign w:val="bottom"/>
            <w:hideMark/>
          </w:tcPr>
          <w:p w14:paraId="2ACEB9AA"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-9.5</w:t>
            </w:r>
          </w:p>
        </w:tc>
        <w:tc>
          <w:tcPr>
            <w:tcW w:w="1126" w:type="dxa"/>
            <w:tcBorders>
              <w:top w:val="nil"/>
              <w:left w:val="nil"/>
              <w:bottom w:val="nil"/>
              <w:right w:val="nil"/>
            </w:tcBorders>
            <w:shd w:val="clear" w:color="auto" w:fill="auto"/>
            <w:noWrap/>
            <w:vAlign w:val="bottom"/>
            <w:hideMark/>
          </w:tcPr>
          <w:p w14:paraId="57B58393"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3.09</w:t>
            </w:r>
          </w:p>
        </w:tc>
      </w:tr>
      <w:tr w:rsidR="0002316A" w:rsidRPr="00C66BD5" w14:paraId="40C94E92" w14:textId="77777777" w:rsidTr="005F3681">
        <w:trPr>
          <w:trHeight w:val="300"/>
        </w:trPr>
        <w:tc>
          <w:tcPr>
            <w:tcW w:w="1829" w:type="dxa"/>
            <w:gridSpan w:val="2"/>
            <w:tcBorders>
              <w:top w:val="nil"/>
              <w:left w:val="nil"/>
              <w:bottom w:val="nil"/>
              <w:right w:val="nil"/>
            </w:tcBorders>
            <w:shd w:val="clear" w:color="auto" w:fill="auto"/>
            <w:noWrap/>
            <w:vAlign w:val="bottom"/>
            <w:hideMark/>
          </w:tcPr>
          <w:p w14:paraId="43EF0B54" w14:textId="77777777" w:rsidR="0002316A" w:rsidRPr="00C66BD5" w:rsidRDefault="0002316A" w:rsidP="005F3681">
            <w:pPr>
              <w:rPr>
                <w:rFonts w:ascii="Arial" w:eastAsia="Times New Roman" w:hAnsi="Arial" w:cs="Arial"/>
                <w:color w:val="000000"/>
                <w:sz w:val="22"/>
                <w:szCs w:val="22"/>
                <w:lang w:val="en-GB"/>
              </w:rPr>
            </w:pPr>
          </w:p>
        </w:tc>
        <w:tc>
          <w:tcPr>
            <w:tcW w:w="1256" w:type="dxa"/>
            <w:gridSpan w:val="2"/>
            <w:tcBorders>
              <w:top w:val="nil"/>
              <w:left w:val="nil"/>
              <w:bottom w:val="nil"/>
              <w:right w:val="nil"/>
            </w:tcBorders>
            <w:shd w:val="clear" w:color="auto" w:fill="auto"/>
            <w:noWrap/>
            <w:vAlign w:val="bottom"/>
            <w:hideMark/>
          </w:tcPr>
          <w:p w14:paraId="44927101"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5</w:t>
            </w:r>
          </w:p>
        </w:tc>
        <w:tc>
          <w:tcPr>
            <w:tcW w:w="3376" w:type="dxa"/>
            <w:gridSpan w:val="2"/>
            <w:tcBorders>
              <w:top w:val="nil"/>
              <w:left w:val="nil"/>
              <w:bottom w:val="nil"/>
              <w:right w:val="nil"/>
            </w:tcBorders>
            <w:shd w:val="clear" w:color="auto" w:fill="auto"/>
            <w:noWrap/>
            <w:vAlign w:val="bottom"/>
            <w:hideMark/>
          </w:tcPr>
          <w:p w14:paraId="410604E3"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superiorfrontal</w:t>
            </w:r>
          </w:p>
        </w:tc>
        <w:tc>
          <w:tcPr>
            <w:tcW w:w="815" w:type="dxa"/>
            <w:gridSpan w:val="2"/>
            <w:tcBorders>
              <w:top w:val="nil"/>
              <w:left w:val="nil"/>
              <w:bottom w:val="nil"/>
              <w:right w:val="nil"/>
            </w:tcBorders>
            <w:shd w:val="clear" w:color="auto" w:fill="auto"/>
            <w:noWrap/>
            <w:hideMark/>
          </w:tcPr>
          <w:p w14:paraId="1EF643EC"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R</w:t>
            </w:r>
          </w:p>
        </w:tc>
        <w:tc>
          <w:tcPr>
            <w:tcW w:w="1377" w:type="dxa"/>
            <w:gridSpan w:val="2"/>
            <w:tcBorders>
              <w:top w:val="nil"/>
              <w:left w:val="nil"/>
              <w:bottom w:val="nil"/>
              <w:right w:val="nil"/>
            </w:tcBorders>
            <w:shd w:val="clear" w:color="auto" w:fill="auto"/>
            <w:noWrap/>
            <w:hideMark/>
          </w:tcPr>
          <w:p w14:paraId="689864D6" w14:textId="77777777" w:rsidR="0002316A" w:rsidRPr="00C66BD5" w:rsidRDefault="0002316A" w:rsidP="005F3681">
            <w:pPr>
              <w:jc w:val="center"/>
              <w:rPr>
                <w:rFonts w:ascii="Arial" w:eastAsia="Times New Roman" w:hAnsi="Arial" w:cs="Arial"/>
                <w:color w:val="000000"/>
                <w:sz w:val="22"/>
                <w:szCs w:val="22"/>
                <w:lang w:val="en-GB"/>
              </w:rPr>
            </w:pPr>
            <w:r>
              <w:rPr>
                <w:rFonts w:ascii="Arial" w:eastAsia="Times New Roman" w:hAnsi="Arial" w:cs="Arial"/>
                <w:color w:val="000000"/>
                <w:sz w:val="22"/>
                <w:szCs w:val="22"/>
                <w:lang w:val="en-GB"/>
              </w:rPr>
              <w:t>9</w:t>
            </w:r>
          </w:p>
        </w:tc>
        <w:tc>
          <w:tcPr>
            <w:tcW w:w="1956" w:type="dxa"/>
            <w:gridSpan w:val="4"/>
            <w:tcBorders>
              <w:top w:val="nil"/>
              <w:left w:val="nil"/>
              <w:bottom w:val="nil"/>
              <w:right w:val="nil"/>
            </w:tcBorders>
            <w:shd w:val="clear" w:color="auto" w:fill="auto"/>
            <w:noWrap/>
            <w:vAlign w:val="bottom"/>
            <w:hideMark/>
          </w:tcPr>
          <w:p w14:paraId="3961571C"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299</w:t>
            </w:r>
          </w:p>
        </w:tc>
        <w:tc>
          <w:tcPr>
            <w:tcW w:w="915" w:type="dxa"/>
            <w:gridSpan w:val="2"/>
            <w:tcBorders>
              <w:top w:val="nil"/>
              <w:left w:val="nil"/>
              <w:bottom w:val="nil"/>
              <w:right w:val="nil"/>
            </w:tcBorders>
            <w:shd w:val="clear" w:color="auto" w:fill="auto"/>
            <w:noWrap/>
            <w:vAlign w:val="bottom"/>
            <w:hideMark/>
          </w:tcPr>
          <w:p w14:paraId="6657A031"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9.7</w:t>
            </w:r>
          </w:p>
        </w:tc>
        <w:tc>
          <w:tcPr>
            <w:tcW w:w="915" w:type="dxa"/>
            <w:gridSpan w:val="2"/>
            <w:tcBorders>
              <w:top w:val="nil"/>
              <w:left w:val="nil"/>
              <w:bottom w:val="nil"/>
              <w:right w:val="nil"/>
            </w:tcBorders>
            <w:shd w:val="clear" w:color="auto" w:fill="auto"/>
            <w:noWrap/>
            <w:vAlign w:val="bottom"/>
            <w:hideMark/>
          </w:tcPr>
          <w:p w14:paraId="4AA95B88"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49.7</w:t>
            </w:r>
          </w:p>
        </w:tc>
        <w:tc>
          <w:tcPr>
            <w:tcW w:w="915" w:type="dxa"/>
            <w:gridSpan w:val="2"/>
            <w:tcBorders>
              <w:top w:val="nil"/>
              <w:left w:val="nil"/>
              <w:bottom w:val="nil"/>
              <w:right w:val="nil"/>
            </w:tcBorders>
            <w:shd w:val="clear" w:color="auto" w:fill="auto"/>
            <w:noWrap/>
            <w:vAlign w:val="bottom"/>
            <w:hideMark/>
          </w:tcPr>
          <w:p w14:paraId="5E29412D"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20.7</w:t>
            </w:r>
          </w:p>
        </w:tc>
        <w:tc>
          <w:tcPr>
            <w:tcW w:w="1126" w:type="dxa"/>
            <w:tcBorders>
              <w:top w:val="nil"/>
              <w:left w:val="nil"/>
              <w:bottom w:val="nil"/>
              <w:right w:val="nil"/>
            </w:tcBorders>
            <w:shd w:val="clear" w:color="auto" w:fill="auto"/>
            <w:noWrap/>
            <w:vAlign w:val="bottom"/>
            <w:hideMark/>
          </w:tcPr>
          <w:p w14:paraId="6FB65434"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2.871</w:t>
            </w:r>
          </w:p>
        </w:tc>
      </w:tr>
      <w:tr w:rsidR="0002316A" w:rsidRPr="00C66BD5" w14:paraId="3D2190C0" w14:textId="77777777" w:rsidTr="005F3681">
        <w:trPr>
          <w:trHeight w:val="300"/>
        </w:trPr>
        <w:tc>
          <w:tcPr>
            <w:tcW w:w="1829" w:type="dxa"/>
            <w:gridSpan w:val="2"/>
            <w:tcBorders>
              <w:top w:val="nil"/>
              <w:left w:val="nil"/>
              <w:bottom w:val="nil"/>
              <w:right w:val="nil"/>
            </w:tcBorders>
            <w:shd w:val="clear" w:color="auto" w:fill="auto"/>
            <w:noWrap/>
            <w:vAlign w:val="bottom"/>
            <w:hideMark/>
          </w:tcPr>
          <w:p w14:paraId="05D7FE4D" w14:textId="77777777" w:rsidR="0002316A" w:rsidRPr="00C66BD5" w:rsidRDefault="0002316A" w:rsidP="005F3681">
            <w:pPr>
              <w:rPr>
                <w:rFonts w:ascii="Arial" w:eastAsia="Times New Roman" w:hAnsi="Arial" w:cs="Arial"/>
                <w:color w:val="000000"/>
                <w:sz w:val="22"/>
                <w:szCs w:val="22"/>
                <w:lang w:val="en-GB"/>
              </w:rPr>
            </w:pPr>
          </w:p>
        </w:tc>
        <w:tc>
          <w:tcPr>
            <w:tcW w:w="1256" w:type="dxa"/>
            <w:gridSpan w:val="2"/>
            <w:tcBorders>
              <w:top w:val="nil"/>
              <w:left w:val="nil"/>
              <w:bottom w:val="nil"/>
              <w:right w:val="nil"/>
            </w:tcBorders>
            <w:shd w:val="clear" w:color="auto" w:fill="auto"/>
            <w:noWrap/>
            <w:vAlign w:val="bottom"/>
            <w:hideMark/>
          </w:tcPr>
          <w:p w14:paraId="4A43797C"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6</w:t>
            </w:r>
          </w:p>
        </w:tc>
        <w:tc>
          <w:tcPr>
            <w:tcW w:w="3376" w:type="dxa"/>
            <w:gridSpan w:val="2"/>
            <w:tcBorders>
              <w:top w:val="nil"/>
              <w:left w:val="nil"/>
              <w:bottom w:val="nil"/>
              <w:right w:val="nil"/>
            </w:tcBorders>
            <w:shd w:val="clear" w:color="auto" w:fill="auto"/>
            <w:noWrap/>
            <w:vAlign w:val="bottom"/>
            <w:hideMark/>
          </w:tcPr>
          <w:p w14:paraId="199855A7"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cuneus</w:t>
            </w:r>
          </w:p>
        </w:tc>
        <w:tc>
          <w:tcPr>
            <w:tcW w:w="815" w:type="dxa"/>
            <w:gridSpan w:val="2"/>
            <w:tcBorders>
              <w:top w:val="nil"/>
              <w:left w:val="nil"/>
              <w:bottom w:val="nil"/>
              <w:right w:val="nil"/>
            </w:tcBorders>
            <w:shd w:val="clear" w:color="auto" w:fill="auto"/>
            <w:noWrap/>
            <w:hideMark/>
          </w:tcPr>
          <w:p w14:paraId="041AA5B6"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R</w:t>
            </w:r>
          </w:p>
        </w:tc>
        <w:tc>
          <w:tcPr>
            <w:tcW w:w="1377" w:type="dxa"/>
            <w:gridSpan w:val="2"/>
            <w:tcBorders>
              <w:top w:val="nil"/>
              <w:left w:val="nil"/>
              <w:bottom w:val="nil"/>
              <w:right w:val="nil"/>
            </w:tcBorders>
            <w:shd w:val="clear" w:color="auto" w:fill="auto"/>
            <w:noWrap/>
            <w:hideMark/>
          </w:tcPr>
          <w:p w14:paraId="0D53F9E2" w14:textId="77777777" w:rsidR="0002316A" w:rsidRPr="00C66BD5" w:rsidRDefault="0002316A" w:rsidP="005F3681">
            <w:pPr>
              <w:jc w:val="center"/>
              <w:rPr>
                <w:rFonts w:ascii="Arial" w:eastAsia="Times New Roman" w:hAnsi="Arial" w:cs="Arial"/>
                <w:color w:val="000000"/>
                <w:sz w:val="22"/>
                <w:szCs w:val="22"/>
                <w:lang w:val="en-GB"/>
              </w:rPr>
            </w:pPr>
            <w:r>
              <w:rPr>
                <w:rFonts w:ascii="Arial" w:eastAsia="Times New Roman" w:hAnsi="Arial" w:cs="Arial"/>
                <w:color w:val="000000"/>
                <w:sz w:val="22"/>
                <w:szCs w:val="22"/>
                <w:lang w:val="en-GB"/>
              </w:rPr>
              <w:t>18</w:t>
            </w:r>
          </w:p>
        </w:tc>
        <w:tc>
          <w:tcPr>
            <w:tcW w:w="1956" w:type="dxa"/>
            <w:gridSpan w:val="4"/>
            <w:tcBorders>
              <w:top w:val="nil"/>
              <w:left w:val="nil"/>
              <w:bottom w:val="nil"/>
              <w:right w:val="nil"/>
            </w:tcBorders>
            <w:shd w:val="clear" w:color="auto" w:fill="auto"/>
            <w:noWrap/>
            <w:vAlign w:val="bottom"/>
            <w:hideMark/>
          </w:tcPr>
          <w:p w14:paraId="69A60082"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110</w:t>
            </w:r>
          </w:p>
        </w:tc>
        <w:tc>
          <w:tcPr>
            <w:tcW w:w="915" w:type="dxa"/>
            <w:gridSpan w:val="2"/>
            <w:tcBorders>
              <w:top w:val="nil"/>
              <w:left w:val="nil"/>
              <w:bottom w:val="nil"/>
              <w:right w:val="nil"/>
            </w:tcBorders>
            <w:shd w:val="clear" w:color="auto" w:fill="auto"/>
            <w:noWrap/>
            <w:vAlign w:val="bottom"/>
            <w:hideMark/>
          </w:tcPr>
          <w:p w14:paraId="206E57EA"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6.4</w:t>
            </w:r>
          </w:p>
        </w:tc>
        <w:tc>
          <w:tcPr>
            <w:tcW w:w="915" w:type="dxa"/>
            <w:gridSpan w:val="2"/>
            <w:tcBorders>
              <w:top w:val="nil"/>
              <w:left w:val="nil"/>
              <w:bottom w:val="nil"/>
              <w:right w:val="nil"/>
            </w:tcBorders>
            <w:shd w:val="clear" w:color="auto" w:fill="auto"/>
            <w:noWrap/>
            <w:vAlign w:val="bottom"/>
            <w:hideMark/>
          </w:tcPr>
          <w:p w14:paraId="442F79EF"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-82.2</w:t>
            </w:r>
          </w:p>
        </w:tc>
        <w:tc>
          <w:tcPr>
            <w:tcW w:w="915" w:type="dxa"/>
            <w:gridSpan w:val="2"/>
            <w:tcBorders>
              <w:top w:val="nil"/>
              <w:left w:val="nil"/>
              <w:bottom w:val="nil"/>
              <w:right w:val="nil"/>
            </w:tcBorders>
            <w:shd w:val="clear" w:color="auto" w:fill="auto"/>
            <w:noWrap/>
            <w:vAlign w:val="bottom"/>
            <w:hideMark/>
          </w:tcPr>
          <w:p w14:paraId="6C659C10"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18.3</w:t>
            </w:r>
          </w:p>
        </w:tc>
        <w:tc>
          <w:tcPr>
            <w:tcW w:w="1126" w:type="dxa"/>
            <w:tcBorders>
              <w:top w:val="nil"/>
              <w:left w:val="nil"/>
              <w:bottom w:val="nil"/>
              <w:right w:val="nil"/>
            </w:tcBorders>
            <w:shd w:val="clear" w:color="auto" w:fill="auto"/>
            <w:noWrap/>
            <w:vAlign w:val="bottom"/>
            <w:hideMark/>
          </w:tcPr>
          <w:p w14:paraId="112114A4"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-2.301</w:t>
            </w:r>
          </w:p>
        </w:tc>
      </w:tr>
      <w:tr w:rsidR="0002316A" w:rsidRPr="00C66BD5" w14:paraId="0A8FDA84" w14:textId="77777777" w:rsidTr="005F3681">
        <w:trPr>
          <w:trHeight w:val="300"/>
        </w:trPr>
        <w:tc>
          <w:tcPr>
            <w:tcW w:w="1829" w:type="dxa"/>
            <w:gridSpan w:val="2"/>
            <w:tcBorders>
              <w:top w:val="nil"/>
              <w:left w:val="nil"/>
              <w:bottom w:val="nil"/>
              <w:right w:val="nil"/>
            </w:tcBorders>
            <w:shd w:val="clear" w:color="auto" w:fill="auto"/>
            <w:noWrap/>
            <w:vAlign w:val="bottom"/>
            <w:hideMark/>
          </w:tcPr>
          <w:p w14:paraId="4BBADFEE" w14:textId="77777777" w:rsidR="0002316A" w:rsidRPr="00C66BD5" w:rsidRDefault="0002316A" w:rsidP="005F3681">
            <w:pPr>
              <w:rPr>
                <w:rFonts w:ascii="Arial" w:eastAsia="Times New Roman" w:hAnsi="Arial" w:cs="Arial"/>
                <w:color w:val="000000"/>
                <w:sz w:val="22"/>
                <w:szCs w:val="22"/>
                <w:lang w:val="en-GB"/>
              </w:rPr>
            </w:pPr>
          </w:p>
        </w:tc>
        <w:tc>
          <w:tcPr>
            <w:tcW w:w="1256" w:type="dxa"/>
            <w:gridSpan w:val="2"/>
            <w:tcBorders>
              <w:top w:val="nil"/>
              <w:left w:val="nil"/>
              <w:bottom w:val="nil"/>
              <w:right w:val="nil"/>
            </w:tcBorders>
            <w:shd w:val="clear" w:color="auto" w:fill="auto"/>
            <w:noWrap/>
            <w:vAlign w:val="bottom"/>
            <w:hideMark/>
          </w:tcPr>
          <w:p w14:paraId="5B2D808E"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7</w:t>
            </w:r>
          </w:p>
        </w:tc>
        <w:tc>
          <w:tcPr>
            <w:tcW w:w="3376" w:type="dxa"/>
            <w:gridSpan w:val="2"/>
            <w:tcBorders>
              <w:top w:val="nil"/>
              <w:left w:val="nil"/>
              <w:bottom w:val="nil"/>
              <w:right w:val="nil"/>
            </w:tcBorders>
            <w:shd w:val="clear" w:color="auto" w:fill="auto"/>
            <w:noWrap/>
            <w:vAlign w:val="bottom"/>
            <w:hideMark/>
          </w:tcPr>
          <w:p w14:paraId="7BA9B248"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superiorparietal</w:t>
            </w:r>
          </w:p>
        </w:tc>
        <w:tc>
          <w:tcPr>
            <w:tcW w:w="815" w:type="dxa"/>
            <w:gridSpan w:val="2"/>
            <w:tcBorders>
              <w:top w:val="nil"/>
              <w:left w:val="nil"/>
              <w:bottom w:val="nil"/>
              <w:right w:val="nil"/>
            </w:tcBorders>
            <w:shd w:val="clear" w:color="auto" w:fill="auto"/>
            <w:noWrap/>
            <w:hideMark/>
          </w:tcPr>
          <w:p w14:paraId="3829672C"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R</w:t>
            </w:r>
          </w:p>
        </w:tc>
        <w:tc>
          <w:tcPr>
            <w:tcW w:w="1377" w:type="dxa"/>
            <w:gridSpan w:val="2"/>
            <w:tcBorders>
              <w:top w:val="nil"/>
              <w:left w:val="nil"/>
              <w:bottom w:val="nil"/>
              <w:right w:val="nil"/>
            </w:tcBorders>
            <w:shd w:val="clear" w:color="auto" w:fill="auto"/>
            <w:noWrap/>
            <w:hideMark/>
          </w:tcPr>
          <w:p w14:paraId="2767D5EF" w14:textId="77777777" w:rsidR="0002316A" w:rsidRPr="00C66BD5" w:rsidRDefault="0002316A" w:rsidP="005F3681">
            <w:pPr>
              <w:jc w:val="center"/>
              <w:rPr>
                <w:rFonts w:ascii="Arial" w:eastAsia="Times New Roman" w:hAnsi="Arial" w:cs="Arial"/>
                <w:color w:val="000000"/>
                <w:sz w:val="22"/>
                <w:szCs w:val="22"/>
                <w:lang w:val="en-GB"/>
              </w:rPr>
            </w:pPr>
            <w:r>
              <w:rPr>
                <w:rFonts w:ascii="Arial" w:eastAsia="Times New Roman" w:hAnsi="Arial" w:cs="Arial"/>
                <w:color w:val="000000"/>
                <w:sz w:val="22"/>
                <w:szCs w:val="22"/>
                <w:lang w:val="en-GB"/>
              </w:rPr>
              <w:t>39</w:t>
            </w:r>
          </w:p>
        </w:tc>
        <w:tc>
          <w:tcPr>
            <w:tcW w:w="1956" w:type="dxa"/>
            <w:gridSpan w:val="4"/>
            <w:tcBorders>
              <w:top w:val="nil"/>
              <w:left w:val="nil"/>
              <w:bottom w:val="nil"/>
              <w:right w:val="nil"/>
            </w:tcBorders>
            <w:shd w:val="clear" w:color="auto" w:fill="auto"/>
            <w:noWrap/>
            <w:vAlign w:val="bottom"/>
            <w:hideMark/>
          </w:tcPr>
          <w:p w14:paraId="5586E839"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224</w:t>
            </w:r>
          </w:p>
        </w:tc>
        <w:tc>
          <w:tcPr>
            <w:tcW w:w="915" w:type="dxa"/>
            <w:gridSpan w:val="2"/>
            <w:tcBorders>
              <w:top w:val="nil"/>
              <w:left w:val="nil"/>
              <w:bottom w:val="nil"/>
              <w:right w:val="nil"/>
            </w:tcBorders>
            <w:shd w:val="clear" w:color="auto" w:fill="auto"/>
            <w:noWrap/>
            <w:vAlign w:val="bottom"/>
            <w:hideMark/>
          </w:tcPr>
          <w:p w14:paraId="3387A79A"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28.4</w:t>
            </w:r>
          </w:p>
        </w:tc>
        <w:tc>
          <w:tcPr>
            <w:tcW w:w="915" w:type="dxa"/>
            <w:gridSpan w:val="2"/>
            <w:tcBorders>
              <w:top w:val="nil"/>
              <w:left w:val="nil"/>
              <w:bottom w:val="nil"/>
              <w:right w:val="nil"/>
            </w:tcBorders>
            <w:shd w:val="clear" w:color="auto" w:fill="auto"/>
            <w:noWrap/>
            <w:vAlign w:val="bottom"/>
            <w:hideMark/>
          </w:tcPr>
          <w:p w14:paraId="76359110"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-57.4</w:t>
            </w:r>
          </w:p>
        </w:tc>
        <w:tc>
          <w:tcPr>
            <w:tcW w:w="915" w:type="dxa"/>
            <w:gridSpan w:val="2"/>
            <w:tcBorders>
              <w:top w:val="nil"/>
              <w:left w:val="nil"/>
              <w:bottom w:val="nil"/>
              <w:right w:val="nil"/>
            </w:tcBorders>
            <w:shd w:val="clear" w:color="auto" w:fill="auto"/>
            <w:noWrap/>
            <w:vAlign w:val="bottom"/>
            <w:hideMark/>
          </w:tcPr>
          <w:p w14:paraId="000B1604"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35</w:t>
            </w:r>
          </w:p>
        </w:tc>
        <w:tc>
          <w:tcPr>
            <w:tcW w:w="1126" w:type="dxa"/>
            <w:tcBorders>
              <w:top w:val="nil"/>
              <w:left w:val="nil"/>
              <w:bottom w:val="nil"/>
              <w:right w:val="nil"/>
            </w:tcBorders>
            <w:shd w:val="clear" w:color="auto" w:fill="auto"/>
            <w:noWrap/>
            <w:vAlign w:val="bottom"/>
            <w:hideMark/>
          </w:tcPr>
          <w:p w14:paraId="44584D07"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2.665</w:t>
            </w:r>
          </w:p>
        </w:tc>
      </w:tr>
      <w:tr w:rsidR="0002316A" w:rsidRPr="00C66BD5" w14:paraId="179DBAD4" w14:textId="77777777" w:rsidTr="005F3681">
        <w:trPr>
          <w:trHeight w:val="315"/>
        </w:trPr>
        <w:tc>
          <w:tcPr>
            <w:tcW w:w="1829" w:type="dxa"/>
            <w:gridSpan w:val="2"/>
            <w:tcBorders>
              <w:top w:val="nil"/>
              <w:left w:val="nil"/>
              <w:bottom w:val="nil"/>
              <w:right w:val="nil"/>
            </w:tcBorders>
            <w:shd w:val="clear" w:color="auto" w:fill="auto"/>
            <w:noWrap/>
            <w:vAlign w:val="bottom"/>
            <w:hideMark/>
          </w:tcPr>
          <w:p w14:paraId="4BBEBA51" w14:textId="77777777" w:rsidR="0002316A" w:rsidRPr="00C66BD5" w:rsidRDefault="0002316A" w:rsidP="005F3681">
            <w:pPr>
              <w:rPr>
                <w:rFonts w:ascii="Arial" w:eastAsia="Times New Roman" w:hAnsi="Arial" w:cs="Arial"/>
                <w:color w:val="000000"/>
                <w:sz w:val="22"/>
                <w:szCs w:val="22"/>
                <w:lang w:val="en-GB"/>
              </w:rPr>
            </w:pPr>
          </w:p>
        </w:tc>
        <w:tc>
          <w:tcPr>
            <w:tcW w:w="1256" w:type="dxa"/>
            <w:gridSpan w:val="2"/>
            <w:tcBorders>
              <w:top w:val="nil"/>
              <w:left w:val="nil"/>
              <w:bottom w:val="nil"/>
              <w:right w:val="nil"/>
            </w:tcBorders>
            <w:shd w:val="clear" w:color="auto" w:fill="auto"/>
            <w:noWrap/>
            <w:vAlign w:val="bottom"/>
            <w:hideMark/>
          </w:tcPr>
          <w:p w14:paraId="6EFE9063"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8</w:t>
            </w:r>
          </w:p>
        </w:tc>
        <w:tc>
          <w:tcPr>
            <w:tcW w:w="3376" w:type="dxa"/>
            <w:gridSpan w:val="2"/>
            <w:tcBorders>
              <w:top w:val="nil"/>
              <w:left w:val="nil"/>
              <w:bottom w:val="nil"/>
              <w:right w:val="nil"/>
            </w:tcBorders>
            <w:shd w:val="clear" w:color="auto" w:fill="auto"/>
            <w:noWrap/>
            <w:vAlign w:val="bottom"/>
            <w:hideMark/>
          </w:tcPr>
          <w:p w14:paraId="36F61370"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bankssts</w:t>
            </w:r>
          </w:p>
        </w:tc>
        <w:tc>
          <w:tcPr>
            <w:tcW w:w="815" w:type="dxa"/>
            <w:gridSpan w:val="2"/>
            <w:tcBorders>
              <w:top w:val="nil"/>
              <w:left w:val="nil"/>
              <w:bottom w:val="nil"/>
              <w:right w:val="nil"/>
            </w:tcBorders>
            <w:shd w:val="clear" w:color="auto" w:fill="auto"/>
            <w:noWrap/>
            <w:hideMark/>
          </w:tcPr>
          <w:p w14:paraId="195471B4"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R</w:t>
            </w:r>
          </w:p>
        </w:tc>
        <w:tc>
          <w:tcPr>
            <w:tcW w:w="1377" w:type="dxa"/>
            <w:gridSpan w:val="2"/>
            <w:tcBorders>
              <w:top w:val="nil"/>
              <w:left w:val="nil"/>
              <w:bottom w:val="nil"/>
              <w:right w:val="nil"/>
            </w:tcBorders>
            <w:shd w:val="clear" w:color="auto" w:fill="auto"/>
            <w:noWrap/>
            <w:hideMark/>
          </w:tcPr>
          <w:p w14:paraId="579ABAD7" w14:textId="77777777" w:rsidR="0002316A" w:rsidRPr="00C66BD5" w:rsidRDefault="0002316A" w:rsidP="005F3681">
            <w:pPr>
              <w:jc w:val="center"/>
              <w:rPr>
                <w:rFonts w:ascii="Arial" w:eastAsia="Times New Roman" w:hAnsi="Arial" w:cs="Arial"/>
                <w:color w:val="000000"/>
                <w:sz w:val="22"/>
                <w:szCs w:val="22"/>
                <w:lang w:val="en-GB"/>
              </w:rPr>
            </w:pPr>
            <w:r>
              <w:rPr>
                <w:rFonts w:ascii="Arial" w:eastAsia="Times New Roman" w:hAnsi="Arial" w:cs="Arial"/>
                <w:color w:val="000000"/>
                <w:sz w:val="22"/>
                <w:szCs w:val="22"/>
                <w:lang w:val="en-GB"/>
              </w:rPr>
              <w:t>13</w:t>
            </w:r>
          </w:p>
        </w:tc>
        <w:tc>
          <w:tcPr>
            <w:tcW w:w="1956" w:type="dxa"/>
            <w:gridSpan w:val="4"/>
            <w:tcBorders>
              <w:top w:val="nil"/>
              <w:left w:val="nil"/>
              <w:bottom w:val="nil"/>
              <w:right w:val="nil"/>
            </w:tcBorders>
            <w:shd w:val="clear" w:color="auto" w:fill="auto"/>
            <w:noWrap/>
            <w:vAlign w:val="bottom"/>
            <w:hideMark/>
          </w:tcPr>
          <w:p w14:paraId="65FEA9A3"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232</w:t>
            </w:r>
          </w:p>
        </w:tc>
        <w:tc>
          <w:tcPr>
            <w:tcW w:w="915" w:type="dxa"/>
            <w:gridSpan w:val="2"/>
            <w:tcBorders>
              <w:top w:val="nil"/>
              <w:left w:val="nil"/>
              <w:bottom w:val="nil"/>
              <w:right w:val="nil"/>
            </w:tcBorders>
            <w:shd w:val="clear" w:color="auto" w:fill="auto"/>
            <w:noWrap/>
            <w:vAlign w:val="bottom"/>
            <w:hideMark/>
          </w:tcPr>
          <w:p w14:paraId="75BEC2C1"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52.2</w:t>
            </w:r>
          </w:p>
        </w:tc>
        <w:tc>
          <w:tcPr>
            <w:tcW w:w="915" w:type="dxa"/>
            <w:gridSpan w:val="2"/>
            <w:tcBorders>
              <w:top w:val="nil"/>
              <w:left w:val="nil"/>
              <w:bottom w:val="nil"/>
              <w:right w:val="nil"/>
            </w:tcBorders>
            <w:shd w:val="clear" w:color="auto" w:fill="auto"/>
            <w:noWrap/>
            <w:vAlign w:val="bottom"/>
            <w:hideMark/>
          </w:tcPr>
          <w:p w14:paraId="32425F93"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-38.2</w:t>
            </w:r>
          </w:p>
        </w:tc>
        <w:tc>
          <w:tcPr>
            <w:tcW w:w="915" w:type="dxa"/>
            <w:gridSpan w:val="2"/>
            <w:tcBorders>
              <w:top w:val="nil"/>
              <w:left w:val="nil"/>
              <w:bottom w:val="nil"/>
              <w:right w:val="nil"/>
            </w:tcBorders>
            <w:shd w:val="clear" w:color="auto" w:fill="auto"/>
            <w:noWrap/>
            <w:vAlign w:val="bottom"/>
            <w:hideMark/>
          </w:tcPr>
          <w:p w14:paraId="37594ED0"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13.7</w:t>
            </w:r>
          </w:p>
        </w:tc>
        <w:tc>
          <w:tcPr>
            <w:tcW w:w="1126" w:type="dxa"/>
            <w:tcBorders>
              <w:top w:val="nil"/>
              <w:left w:val="nil"/>
              <w:bottom w:val="nil"/>
              <w:right w:val="nil"/>
            </w:tcBorders>
            <w:shd w:val="clear" w:color="auto" w:fill="auto"/>
            <w:noWrap/>
            <w:vAlign w:val="bottom"/>
            <w:hideMark/>
          </w:tcPr>
          <w:p w14:paraId="7831552E"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2.438</w:t>
            </w:r>
          </w:p>
        </w:tc>
      </w:tr>
      <w:tr w:rsidR="0002316A" w:rsidRPr="00C66BD5" w14:paraId="12698239" w14:textId="77777777" w:rsidTr="005F3681">
        <w:trPr>
          <w:trHeight w:val="300"/>
        </w:trPr>
        <w:tc>
          <w:tcPr>
            <w:tcW w:w="1829" w:type="dxa"/>
            <w:gridSpan w:val="2"/>
            <w:tcBorders>
              <w:top w:val="nil"/>
              <w:left w:val="nil"/>
              <w:bottom w:val="nil"/>
              <w:right w:val="nil"/>
            </w:tcBorders>
            <w:shd w:val="clear" w:color="auto" w:fill="auto"/>
            <w:noWrap/>
            <w:vAlign w:val="bottom"/>
            <w:hideMark/>
          </w:tcPr>
          <w:p w14:paraId="191506E6" w14:textId="77777777" w:rsidR="0002316A" w:rsidRPr="00C66BD5" w:rsidRDefault="0002316A" w:rsidP="005F3681">
            <w:pPr>
              <w:rPr>
                <w:rFonts w:ascii="Arial" w:eastAsia="Times New Roman" w:hAnsi="Arial" w:cs="Arial"/>
                <w:color w:val="000000"/>
                <w:sz w:val="22"/>
                <w:szCs w:val="22"/>
                <w:lang w:val="en-GB"/>
              </w:rPr>
            </w:pPr>
          </w:p>
        </w:tc>
        <w:tc>
          <w:tcPr>
            <w:tcW w:w="1256" w:type="dxa"/>
            <w:gridSpan w:val="2"/>
            <w:tcBorders>
              <w:top w:val="nil"/>
              <w:left w:val="nil"/>
              <w:bottom w:val="nil"/>
              <w:right w:val="nil"/>
            </w:tcBorders>
            <w:shd w:val="clear" w:color="auto" w:fill="auto"/>
            <w:noWrap/>
            <w:vAlign w:val="bottom"/>
            <w:hideMark/>
          </w:tcPr>
          <w:p w14:paraId="56B65BA7"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9</w:t>
            </w:r>
          </w:p>
        </w:tc>
        <w:tc>
          <w:tcPr>
            <w:tcW w:w="3376" w:type="dxa"/>
            <w:gridSpan w:val="2"/>
            <w:tcBorders>
              <w:top w:val="nil"/>
              <w:left w:val="nil"/>
              <w:bottom w:val="nil"/>
              <w:right w:val="nil"/>
            </w:tcBorders>
            <w:shd w:val="clear" w:color="auto" w:fill="auto"/>
            <w:noWrap/>
            <w:vAlign w:val="bottom"/>
            <w:hideMark/>
          </w:tcPr>
          <w:p w14:paraId="2CE6F50E"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parahippocampal</w:t>
            </w:r>
          </w:p>
        </w:tc>
        <w:tc>
          <w:tcPr>
            <w:tcW w:w="815" w:type="dxa"/>
            <w:gridSpan w:val="2"/>
            <w:tcBorders>
              <w:top w:val="nil"/>
              <w:left w:val="nil"/>
              <w:bottom w:val="nil"/>
              <w:right w:val="nil"/>
            </w:tcBorders>
            <w:shd w:val="clear" w:color="auto" w:fill="auto"/>
            <w:noWrap/>
            <w:hideMark/>
          </w:tcPr>
          <w:p w14:paraId="3353D654"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R</w:t>
            </w:r>
          </w:p>
        </w:tc>
        <w:tc>
          <w:tcPr>
            <w:tcW w:w="1377" w:type="dxa"/>
            <w:gridSpan w:val="2"/>
            <w:tcBorders>
              <w:top w:val="nil"/>
              <w:left w:val="nil"/>
              <w:bottom w:val="nil"/>
              <w:right w:val="nil"/>
            </w:tcBorders>
            <w:shd w:val="clear" w:color="auto" w:fill="auto"/>
            <w:noWrap/>
            <w:hideMark/>
          </w:tcPr>
          <w:p w14:paraId="32522FDB" w14:textId="77777777" w:rsidR="0002316A" w:rsidRPr="00C66BD5" w:rsidRDefault="0002316A" w:rsidP="005F3681">
            <w:pPr>
              <w:jc w:val="center"/>
              <w:rPr>
                <w:rFonts w:ascii="Arial" w:eastAsia="Times New Roman" w:hAnsi="Arial" w:cs="Arial"/>
                <w:color w:val="000000"/>
                <w:sz w:val="22"/>
                <w:szCs w:val="22"/>
                <w:lang w:val="en-GB"/>
              </w:rPr>
            </w:pPr>
            <w:r>
              <w:rPr>
                <w:rFonts w:ascii="Arial" w:eastAsia="Times New Roman" w:hAnsi="Arial" w:cs="Arial"/>
                <w:color w:val="000000"/>
                <w:sz w:val="22"/>
                <w:szCs w:val="22"/>
                <w:lang w:val="en-GB"/>
              </w:rPr>
              <w:t>36</w:t>
            </w:r>
          </w:p>
        </w:tc>
        <w:tc>
          <w:tcPr>
            <w:tcW w:w="1956" w:type="dxa"/>
            <w:gridSpan w:val="4"/>
            <w:tcBorders>
              <w:top w:val="nil"/>
              <w:left w:val="nil"/>
              <w:bottom w:val="nil"/>
              <w:right w:val="nil"/>
            </w:tcBorders>
            <w:shd w:val="clear" w:color="auto" w:fill="auto"/>
            <w:noWrap/>
            <w:vAlign w:val="bottom"/>
            <w:hideMark/>
          </w:tcPr>
          <w:p w14:paraId="1602A826"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167</w:t>
            </w:r>
          </w:p>
        </w:tc>
        <w:tc>
          <w:tcPr>
            <w:tcW w:w="915" w:type="dxa"/>
            <w:gridSpan w:val="2"/>
            <w:tcBorders>
              <w:top w:val="nil"/>
              <w:left w:val="nil"/>
              <w:bottom w:val="nil"/>
              <w:right w:val="nil"/>
            </w:tcBorders>
            <w:shd w:val="clear" w:color="auto" w:fill="auto"/>
            <w:noWrap/>
            <w:vAlign w:val="bottom"/>
            <w:hideMark/>
          </w:tcPr>
          <w:p w14:paraId="7EF96722"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36.8</w:t>
            </w:r>
          </w:p>
        </w:tc>
        <w:tc>
          <w:tcPr>
            <w:tcW w:w="915" w:type="dxa"/>
            <w:gridSpan w:val="2"/>
            <w:tcBorders>
              <w:top w:val="nil"/>
              <w:left w:val="nil"/>
              <w:bottom w:val="nil"/>
              <w:right w:val="nil"/>
            </w:tcBorders>
            <w:shd w:val="clear" w:color="auto" w:fill="auto"/>
            <w:noWrap/>
            <w:vAlign w:val="bottom"/>
            <w:hideMark/>
          </w:tcPr>
          <w:p w14:paraId="40F67F6F"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-33</w:t>
            </w:r>
          </w:p>
        </w:tc>
        <w:tc>
          <w:tcPr>
            <w:tcW w:w="915" w:type="dxa"/>
            <w:gridSpan w:val="2"/>
            <w:tcBorders>
              <w:top w:val="nil"/>
              <w:left w:val="nil"/>
              <w:bottom w:val="nil"/>
              <w:right w:val="nil"/>
            </w:tcBorders>
            <w:shd w:val="clear" w:color="auto" w:fill="auto"/>
            <w:noWrap/>
            <w:vAlign w:val="bottom"/>
            <w:hideMark/>
          </w:tcPr>
          <w:p w14:paraId="4B83975F"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-11.4</w:t>
            </w:r>
          </w:p>
        </w:tc>
        <w:tc>
          <w:tcPr>
            <w:tcW w:w="1126" w:type="dxa"/>
            <w:tcBorders>
              <w:top w:val="nil"/>
              <w:left w:val="nil"/>
              <w:bottom w:val="nil"/>
              <w:right w:val="nil"/>
            </w:tcBorders>
            <w:shd w:val="clear" w:color="auto" w:fill="auto"/>
            <w:noWrap/>
            <w:vAlign w:val="bottom"/>
            <w:hideMark/>
          </w:tcPr>
          <w:p w14:paraId="1252ED62"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2.526</w:t>
            </w:r>
          </w:p>
        </w:tc>
      </w:tr>
      <w:tr w:rsidR="0002316A" w:rsidRPr="00C66BD5" w14:paraId="457B1CFA" w14:textId="77777777" w:rsidTr="005F3681">
        <w:trPr>
          <w:trHeight w:val="300"/>
        </w:trPr>
        <w:tc>
          <w:tcPr>
            <w:tcW w:w="1829" w:type="dxa"/>
            <w:gridSpan w:val="2"/>
            <w:tcBorders>
              <w:top w:val="nil"/>
              <w:left w:val="nil"/>
              <w:bottom w:val="nil"/>
              <w:right w:val="nil"/>
            </w:tcBorders>
            <w:shd w:val="clear" w:color="auto" w:fill="auto"/>
            <w:noWrap/>
            <w:vAlign w:val="bottom"/>
            <w:hideMark/>
          </w:tcPr>
          <w:p w14:paraId="74B59254" w14:textId="77777777" w:rsidR="0002316A" w:rsidRPr="00C66BD5" w:rsidRDefault="0002316A" w:rsidP="005F3681">
            <w:pPr>
              <w:rPr>
                <w:rFonts w:ascii="Arial" w:eastAsia="Times New Roman" w:hAnsi="Arial" w:cs="Arial"/>
                <w:color w:val="000000"/>
                <w:sz w:val="22"/>
                <w:szCs w:val="22"/>
                <w:lang w:val="en-GB"/>
              </w:rPr>
            </w:pPr>
          </w:p>
        </w:tc>
        <w:tc>
          <w:tcPr>
            <w:tcW w:w="1256" w:type="dxa"/>
            <w:gridSpan w:val="2"/>
            <w:tcBorders>
              <w:top w:val="nil"/>
              <w:left w:val="nil"/>
              <w:bottom w:val="nil"/>
              <w:right w:val="nil"/>
            </w:tcBorders>
            <w:shd w:val="clear" w:color="auto" w:fill="auto"/>
            <w:noWrap/>
            <w:vAlign w:val="bottom"/>
            <w:hideMark/>
          </w:tcPr>
          <w:p w14:paraId="74BBA79C"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10</w:t>
            </w:r>
          </w:p>
        </w:tc>
        <w:tc>
          <w:tcPr>
            <w:tcW w:w="3376" w:type="dxa"/>
            <w:gridSpan w:val="2"/>
            <w:tcBorders>
              <w:top w:val="nil"/>
              <w:left w:val="nil"/>
              <w:bottom w:val="nil"/>
              <w:right w:val="nil"/>
            </w:tcBorders>
            <w:shd w:val="clear" w:color="auto" w:fill="auto"/>
            <w:noWrap/>
            <w:vAlign w:val="bottom"/>
            <w:hideMark/>
          </w:tcPr>
          <w:p w14:paraId="5E19F8B1"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entorhinal</w:t>
            </w:r>
          </w:p>
        </w:tc>
        <w:tc>
          <w:tcPr>
            <w:tcW w:w="815" w:type="dxa"/>
            <w:gridSpan w:val="2"/>
            <w:tcBorders>
              <w:top w:val="nil"/>
              <w:left w:val="nil"/>
              <w:bottom w:val="nil"/>
              <w:right w:val="nil"/>
            </w:tcBorders>
            <w:shd w:val="clear" w:color="auto" w:fill="auto"/>
            <w:noWrap/>
            <w:hideMark/>
          </w:tcPr>
          <w:p w14:paraId="2566833B"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R</w:t>
            </w:r>
          </w:p>
        </w:tc>
        <w:tc>
          <w:tcPr>
            <w:tcW w:w="1377" w:type="dxa"/>
            <w:gridSpan w:val="2"/>
            <w:tcBorders>
              <w:top w:val="nil"/>
              <w:left w:val="nil"/>
              <w:bottom w:val="nil"/>
              <w:right w:val="nil"/>
            </w:tcBorders>
            <w:shd w:val="clear" w:color="auto" w:fill="auto"/>
            <w:noWrap/>
            <w:hideMark/>
          </w:tcPr>
          <w:p w14:paraId="68C53B9C" w14:textId="77777777" w:rsidR="0002316A" w:rsidRPr="00C66BD5" w:rsidRDefault="0002316A" w:rsidP="005F3681">
            <w:pPr>
              <w:jc w:val="center"/>
              <w:rPr>
                <w:rFonts w:ascii="Arial" w:eastAsia="Times New Roman" w:hAnsi="Arial" w:cs="Arial"/>
                <w:color w:val="000000"/>
                <w:sz w:val="22"/>
                <w:szCs w:val="22"/>
                <w:lang w:val="en-GB"/>
              </w:rPr>
            </w:pPr>
            <w:r>
              <w:rPr>
                <w:rFonts w:ascii="Arial" w:eastAsia="Times New Roman" w:hAnsi="Arial" w:cs="Arial"/>
                <w:color w:val="000000"/>
                <w:sz w:val="22"/>
                <w:szCs w:val="22"/>
                <w:lang w:val="en-GB"/>
              </w:rPr>
              <w:t>35</w:t>
            </w:r>
          </w:p>
        </w:tc>
        <w:tc>
          <w:tcPr>
            <w:tcW w:w="1956" w:type="dxa"/>
            <w:gridSpan w:val="4"/>
            <w:tcBorders>
              <w:top w:val="nil"/>
              <w:left w:val="nil"/>
              <w:bottom w:val="nil"/>
              <w:right w:val="nil"/>
            </w:tcBorders>
            <w:shd w:val="clear" w:color="auto" w:fill="auto"/>
            <w:noWrap/>
            <w:vAlign w:val="bottom"/>
            <w:hideMark/>
          </w:tcPr>
          <w:p w14:paraId="718CACF4"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180</w:t>
            </w:r>
          </w:p>
        </w:tc>
        <w:tc>
          <w:tcPr>
            <w:tcW w:w="915" w:type="dxa"/>
            <w:gridSpan w:val="2"/>
            <w:tcBorders>
              <w:top w:val="nil"/>
              <w:left w:val="nil"/>
              <w:bottom w:val="nil"/>
              <w:right w:val="nil"/>
            </w:tcBorders>
            <w:shd w:val="clear" w:color="auto" w:fill="auto"/>
            <w:noWrap/>
            <w:vAlign w:val="bottom"/>
            <w:hideMark/>
          </w:tcPr>
          <w:p w14:paraId="3CD41250"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22.5</w:t>
            </w:r>
          </w:p>
        </w:tc>
        <w:tc>
          <w:tcPr>
            <w:tcW w:w="915" w:type="dxa"/>
            <w:gridSpan w:val="2"/>
            <w:tcBorders>
              <w:top w:val="nil"/>
              <w:left w:val="nil"/>
              <w:bottom w:val="nil"/>
              <w:right w:val="nil"/>
            </w:tcBorders>
            <w:shd w:val="clear" w:color="auto" w:fill="auto"/>
            <w:noWrap/>
            <w:vAlign w:val="bottom"/>
            <w:hideMark/>
          </w:tcPr>
          <w:p w14:paraId="2ECF62B4"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-8.8</w:t>
            </w:r>
          </w:p>
        </w:tc>
        <w:tc>
          <w:tcPr>
            <w:tcW w:w="915" w:type="dxa"/>
            <w:gridSpan w:val="2"/>
            <w:tcBorders>
              <w:top w:val="nil"/>
              <w:left w:val="nil"/>
              <w:bottom w:val="nil"/>
              <w:right w:val="nil"/>
            </w:tcBorders>
            <w:shd w:val="clear" w:color="auto" w:fill="auto"/>
            <w:noWrap/>
            <w:vAlign w:val="bottom"/>
            <w:hideMark/>
          </w:tcPr>
          <w:p w14:paraId="650A4C7C"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-25.4</w:t>
            </w:r>
          </w:p>
        </w:tc>
        <w:tc>
          <w:tcPr>
            <w:tcW w:w="1126" w:type="dxa"/>
            <w:tcBorders>
              <w:top w:val="nil"/>
              <w:left w:val="nil"/>
              <w:bottom w:val="nil"/>
              <w:right w:val="nil"/>
            </w:tcBorders>
            <w:shd w:val="clear" w:color="auto" w:fill="auto"/>
            <w:noWrap/>
            <w:vAlign w:val="bottom"/>
            <w:hideMark/>
          </w:tcPr>
          <w:p w14:paraId="57251A9F"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2.823</w:t>
            </w:r>
          </w:p>
        </w:tc>
      </w:tr>
      <w:tr w:rsidR="0002316A" w:rsidRPr="00C66BD5" w14:paraId="1E6E5482" w14:textId="77777777" w:rsidTr="005F3681">
        <w:trPr>
          <w:trHeight w:val="300"/>
        </w:trPr>
        <w:tc>
          <w:tcPr>
            <w:tcW w:w="1829" w:type="dxa"/>
            <w:gridSpan w:val="2"/>
            <w:tcBorders>
              <w:top w:val="nil"/>
              <w:left w:val="nil"/>
              <w:bottom w:val="nil"/>
              <w:right w:val="nil"/>
            </w:tcBorders>
            <w:shd w:val="clear" w:color="auto" w:fill="auto"/>
            <w:noWrap/>
            <w:vAlign w:val="bottom"/>
            <w:hideMark/>
          </w:tcPr>
          <w:p w14:paraId="1F138D25" w14:textId="77777777" w:rsidR="0002316A" w:rsidRPr="00C66BD5" w:rsidRDefault="0002316A" w:rsidP="005F3681">
            <w:pPr>
              <w:rPr>
                <w:rFonts w:ascii="Arial" w:eastAsia="Times New Roman" w:hAnsi="Arial" w:cs="Arial"/>
                <w:color w:val="000000"/>
                <w:sz w:val="22"/>
                <w:szCs w:val="22"/>
                <w:lang w:val="en-GB"/>
              </w:rPr>
            </w:pPr>
          </w:p>
        </w:tc>
        <w:tc>
          <w:tcPr>
            <w:tcW w:w="1256" w:type="dxa"/>
            <w:gridSpan w:val="2"/>
            <w:tcBorders>
              <w:top w:val="nil"/>
              <w:left w:val="nil"/>
              <w:bottom w:val="nil"/>
              <w:right w:val="nil"/>
            </w:tcBorders>
            <w:shd w:val="clear" w:color="auto" w:fill="auto"/>
            <w:noWrap/>
            <w:vAlign w:val="bottom"/>
            <w:hideMark/>
          </w:tcPr>
          <w:p w14:paraId="4C1A949D"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11</w:t>
            </w:r>
          </w:p>
        </w:tc>
        <w:tc>
          <w:tcPr>
            <w:tcW w:w="3376" w:type="dxa"/>
            <w:gridSpan w:val="2"/>
            <w:tcBorders>
              <w:top w:val="nil"/>
              <w:left w:val="nil"/>
              <w:bottom w:val="nil"/>
              <w:right w:val="nil"/>
            </w:tcBorders>
            <w:shd w:val="clear" w:color="auto" w:fill="auto"/>
            <w:noWrap/>
            <w:vAlign w:val="bottom"/>
            <w:hideMark/>
          </w:tcPr>
          <w:p w14:paraId="32C43283"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pericalcarine</w:t>
            </w:r>
          </w:p>
        </w:tc>
        <w:tc>
          <w:tcPr>
            <w:tcW w:w="815" w:type="dxa"/>
            <w:gridSpan w:val="2"/>
            <w:tcBorders>
              <w:top w:val="nil"/>
              <w:left w:val="nil"/>
              <w:bottom w:val="nil"/>
              <w:right w:val="nil"/>
            </w:tcBorders>
            <w:shd w:val="clear" w:color="auto" w:fill="auto"/>
            <w:noWrap/>
            <w:hideMark/>
          </w:tcPr>
          <w:p w14:paraId="2BD29F83"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L</w:t>
            </w:r>
          </w:p>
        </w:tc>
        <w:tc>
          <w:tcPr>
            <w:tcW w:w="1377" w:type="dxa"/>
            <w:gridSpan w:val="2"/>
            <w:tcBorders>
              <w:top w:val="nil"/>
              <w:left w:val="nil"/>
              <w:bottom w:val="nil"/>
              <w:right w:val="nil"/>
            </w:tcBorders>
            <w:shd w:val="clear" w:color="auto" w:fill="auto"/>
            <w:noWrap/>
            <w:hideMark/>
          </w:tcPr>
          <w:p w14:paraId="4A3E28D9" w14:textId="77777777" w:rsidR="0002316A" w:rsidRPr="00C66BD5" w:rsidRDefault="0002316A" w:rsidP="005F3681">
            <w:pPr>
              <w:jc w:val="center"/>
              <w:rPr>
                <w:rFonts w:ascii="Arial" w:eastAsia="Times New Roman" w:hAnsi="Arial" w:cs="Arial"/>
                <w:color w:val="000000"/>
                <w:sz w:val="22"/>
                <w:szCs w:val="22"/>
                <w:lang w:val="en-GB"/>
              </w:rPr>
            </w:pPr>
            <w:r>
              <w:rPr>
                <w:rFonts w:ascii="Arial" w:eastAsia="Times New Roman" w:hAnsi="Arial" w:cs="Arial"/>
                <w:color w:val="000000"/>
                <w:sz w:val="22"/>
                <w:szCs w:val="22"/>
                <w:lang w:val="en-GB"/>
              </w:rPr>
              <w:t>17</w:t>
            </w:r>
          </w:p>
        </w:tc>
        <w:tc>
          <w:tcPr>
            <w:tcW w:w="1956" w:type="dxa"/>
            <w:gridSpan w:val="4"/>
            <w:tcBorders>
              <w:top w:val="nil"/>
              <w:left w:val="nil"/>
              <w:bottom w:val="nil"/>
              <w:right w:val="nil"/>
            </w:tcBorders>
            <w:shd w:val="clear" w:color="auto" w:fill="auto"/>
            <w:noWrap/>
            <w:vAlign w:val="bottom"/>
            <w:hideMark/>
          </w:tcPr>
          <w:p w14:paraId="4DB1F8E1"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1243</w:t>
            </w:r>
          </w:p>
        </w:tc>
        <w:tc>
          <w:tcPr>
            <w:tcW w:w="915" w:type="dxa"/>
            <w:gridSpan w:val="2"/>
            <w:tcBorders>
              <w:top w:val="nil"/>
              <w:left w:val="nil"/>
              <w:bottom w:val="nil"/>
              <w:right w:val="nil"/>
            </w:tcBorders>
            <w:shd w:val="clear" w:color="auto" w:fill="auto"/>
            <w:noWrap/>
            <w:vAlign w:val="bottom"/>
            <w:hideMark/>
          </w:tcPr>
          <w:p w14:paraId="3FA5A6BB"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-14</w:t>
            </w:r>
          </w:p>
        </w:tc>
        <w:tc>
          <w:tcPr>
            <w:tcW w:w="915" w:type="dxa"/>
            <w:gridSpan w:val="2"/>
            <w:tcBorders>
              <w:top w:val="nil"/>
              <w:left w:val="nil"/>
              <w:bottom w:val="nil"/>
              <w:right w:val="nil"/>
            </w:tcBorders>
            <w:shd w:val="clear" w:color="auto" w:fill="auto"/>
            <w:noWrap/>
            <w:vAlign w:val="bottom"/>
            <w:hideMark/>
          </w:tcPr>
          <w:p w14:paraId="50FA295A"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-88.4</w:t>
            </w:r>
          </w:p>
        </w:tc>
        <w:tc>
          <w:tcPr>
            <w:tcW w:w="915" w:type="dxa"/>
            <w:gridSpan w:val="2"/>
            <w:tcBorders>
              <w:top w:val="nil"/>
              <w:left w:val="nil"/>
              <w:bottom w:val="nil"/>
              <w:right w:val="nil"/>
            </w:tcBorders>
            <w:shd w:val="clear" w:color="auto" w:fill="auto"/>
            <w:noWrap/>
            <w:vAlign w:val="bottom"/>
            <w:hideMark/>
          </w:tcPr>
          <w:p w14:paraId="28113E3C"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4.7</w:t>
            </w:r>
          </w:p>
        </w:tc>
        <w:tc>
          <w:tcPr>
            <w:tcW w:w="1126" w:type="dxa"/>
            <w:tcBorders>
              <w:top w:val="nil"/>
              <w:left w:val="nil"/>
              <w:bottom w:val="nil"/>
              <w:right w:val="nil"/>
            </w:tcBorders>
            <w:shd w:val="clear" w:color="auto" w:fill="auto"/>
            <w:noWrap/>
            <w:vAlign w:val="bottom"/>
            <w:hideMark/>
          </w:tcPr>
          <w:p w14:paraId="388D43C9"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-3.89</w:t>
            </w:r>
          </w:p>
        </w:tc>
      </w:tr>
      <w:tr w:rsidR="0002316A" w:rsidRPr="00C66BD5" w14:paraId="5CFD23D1" w14:textId="77777777" w:rsidTr="005F3681">
        <w:trPr>
          <w:trHeight w:val="300"/>
        </w:trPr>
        <w:tc>
          <w:tcPr>
            <w:tcW w:w="1829" w:type="dxa"/>
            <w:gridSpan w:val="2"/>
            <w:tcBorders>
              <w:top w:val="nil"/>
              <w:left w:val="nil"/>
              <w:bottom w:val="nil"/>
              <w:right w:val="nil"/>
            </w:tcBorders>
            <w:shd w:val="clear" w:color="auto" w:fill="auto"/>
            <w:noWrap/>
            <w:vAlign w:val="bottom"/>
            <w:hideMark/>
          </w:tcPr>
          <w:p w14:paraId="09ACB494" w14:textId="77777777" w:rsidR="0002316A" w:rsidRPr="00C66BD5" w:rsidRDefault="0002316A" w:rsidP="005F3681">
            <w:pPr>
              <w:rPr>
                <w:rFonts w:ascii="Arial" w:eastAsia="Times New Roman" w:hAnsi="Arial" w:cs="Arial"/>
                <w:color w:val="000000"/>
                <w:sz w:val="22"/>
                <w:szCs w:val="22"/>
                <w:lang w:val="en-GB"/>
              </w:rPr>
            </w:pPr>
          </w:p>
        </w:tc>
        <w:tc>
          <w:tcPr>
            <w:tcW w:w="1256" w:type="dxa"/>
            <w:gridSpan w:val="2"/>
            <w:tcBorders>
              <w:top w:val="nil"/>
              <w:left w:val="nil"/>
              <w:bottom w:val="nil"/>
              <w:right w:val="nil"/>
            </w:tcBorders>
            <w:shd w:val="clear" w:color="auto" w:fill="auto"/>
            <w:noWrap/>
            <w:vAlign w:val="bottom"/>
            <w:hideMark/>
          </w:tcPr>
          <w:p w14:paraId="419851D4"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12</w:t>
            </w:r>
          </w:p>
        </w:tc>
        <w:tc>
          <w:tcPr>
            <w:tcW w:w="3376" w:type="dxa"/>
            <w:gridSpan w:val="2"/>
            <w:tcBorders>
              <w:top w:val="nil"/>
              <w:left w:val="nil"/>
              <w:bottom w:val="nil"/>
              <w:right w:val="nil"/>
            </w:tcBorders>
            <w:shd w:val="clear" w:color="auto" w:fill="auto"/>
            <w:noWrap/>
            <w:vAlign w:val="bottom"/>
            <w:hideMark/>
          </w:tcPr>
          <w:p w14:paraId="0B881779"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postcentral</w:t>
            </w:r>
          </w:p>
        </w:tc>
        <w:tc>
          <w:tcPr>
            <w:tcW w:w="815" w:type="dxa"/>
            <w:gridSpan w:val="2"/>
            <w:tcBorders>
              <w:top w:val="nil"/>
              <w:left w:val="nil"/>
              <w:bottom w:val="nil"/>
              <w:right w:val="nil"/>
            </w:tcBorders>
            <w:shd w:val="clear" w:color="auto" w:fill="auto"/>
            <w:noWrap/>
            <w:hideMark/>
          </w:tcPr>
          <w:p w14:paraId="7EF92E2E"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L</w:t>
            </w:r>
          </w:p>
        </w:tc>
        <w:tc>
          <w:tcPr>
            <w:tcW w:w="1377" w:type="dxa"/>
            <w:gridSpan w:val="2"/>
            <w:tcBorders>
              <w:top w:val="nil"/>
              <w:left w:val="nil"/>
              <w:bottom w:val="nil"/>
              <w:right w:val="nil"/>
            </w:tcBorders>
            <w:shd w:val="clear" w:color="auto" w:fill="auto"/>
            <w:noWrap/>
            <w:hideMark/>
          </w:tcPr>
          <w:p w14:paraId="386DA7E0" w14:textId="77777777" w:rsidR="0002316A" w:rsidRPr="00C66BD5" w:rsidRDefault="0002316A" w:rsidP="005F3681">
            <w:pPr>
              <w:jc w:val="center"/>
              <w:rPr>
                <w:rFonts w:ascii="Arial" w:eastAsia="Times New Roman" w:hAnsi="Arial" w:cs="Arial"/>
                <w:color w:val="000000"/>
                <w:sz w:val="22"/>
                <w:szCs w:val="22"/>
                <w:lang w:val="en-GB"/>
              </w:rPr>
            </w:pPr>
            <w:r>
              <w:rPr>
                <w:rFonts w:ascii="Arial" w:eastAsia="Times New Roman" w:hAnsi="Arial" w:cs="Arial"/>
                <w:color w:val="000000"/>
                <w:sz w:val="22"/>
                <w:szCs w:val="22"/>
                <w:lang w:val="en-GB"/>
              </w:rPr>
              <w:t>2</w:t>
            </w:r>
          </w:p>
        </w:tc>
        <w:tc>
          <w:tcPr>
            <w:tcW w:w="1956" w:type="dxa"/>
            <w:gridSpan w:val="4"/>
            <w:tcBorders>
              <w:top w:val="nil"/>
              <w:left w:val="nil"/>
              <w:bottom w:val="nil"/>
              <w:right w:val="nil"/>
            </w:tcBorders>
            <w:shd w:val="clear" w:color="auto" w:fill="auto"/>
            <w:noWrap/>
            <w:vAlign w:val="bottom"/>
            <w:hideMark/>
          </w:tcPr>
          <w:p w14:paraId="61CE1E4E"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1423</w:t>
            </w:r>
          </w:p>
        </w:tc>
        <w:tc>
          <w:tcPr>
            <w:tcW w:w="915" w:type="dxa"/>
            <w:gridSpan w:val="2"/>
            <w:tcBorders>
              <w:top w:val="nil"/>
              <w:left w:val="nil"/>
              <w:bottom w:val="nil"/>
              <w:right w:val="nil"/>
            </w:tcBorders>
            <w:shd w:val="clear" w:color="auto" w:fill="auto"/>
            <w:noWrap/>
            <w:vAlign w:val="bottom"/>
            <w:hideMark/>
          </w:tcPr>
          <w:p w14:paraId="3B6D7FB0"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-45</w:t>
            </w:r>
          </w:p>
        </w:tc>
        <w:tc>
          <w:tcPr>
            <w:tcW w:w="915" w:type="dxa"/>
            <w:gridSpan w:val="2"/>
            <w:tcBorders>
              <w:top w:val="nil"/>
              <w:left w:val="nil"/>
              <w:bottom w:val="nil"/>
              <w:right w:val="nil"/>
            </w:tcBorders>
            <w:shd w:val="clear" w:color="auto" w:fill="auto"/>
            <w:noWrap/>
            <w:vAlign w:val="bottom"/>
            <w:hideMark/>
          </w:tcPr>
          <w:p w14:paraId="72C8453F"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-26.4</w:t>
            </w:r>
          </w:p>
        </w:tc>
        <w:tc>
          <w:tcPr>
            <w:tcW w:w="915" w:type="dxa"/>
            <w:gridSpan w:val="2"/>
            <w:tcBorders>
              <w:top w:val="nil"/>
              <w:left w:val="nil"/>
              <w:bottom w:val="nil"/>
              <w:right w:val="nil"/>
            </w:tcBorders>
            <w:shd w:val="clear" w:color="auto" w:fill="auto"/>
            <w:noWrap/>
            <w:vAlign w:val="bottom"/>
            <w:hideMark/>
          </w:tcPr>
          <w:p w14:paraId="08157894"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53.8</w:t>
            </w:r>
          </w:p>
        </w:tc>
        <w:tc>
          <w:tcPr>
            <w:tcW w:w="1126" w:type="dxa"/>
            <w:tcBorders>
              <w:top w:val="nil"/>
              <w:left w:val="nil"/>
              <w:bottom w:val="nil"/>
              <w:right w:val="nil"/>
            </w:tcBorders>
            <w:shd w:val="clear" w:color="auto" w:fill="auto"/>
            <w:noWrap/>
            <w:vAlign w:val="bottom"/>
            <w:hideMark/>
          </w:tcPr>
          <w:p w14:paraId="3ABF6E74"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3.709</w:t>
            </w:r>
          </w:p>
        </w:tc>
      </w:tr>
      <w:tr w:rsidR="0002316A" w:rsidRPr="00C66BD5" w14:paraId="10C434FA" w14:textId="77777777" w:rsidTr="005F3681">
        <w:trPr>
          <w:trHeight w:val="300"/>
        </w:trPr>
        <w:tc>
          <w:tcPr>
            <w:tcW w:w="1829" w:type="dxa"/>
            <w:gridSpan w:val="2"/>
            <w:tcBorders>
              <w:top w:val="nil"/>
              <w:left w:val="nil"/>
              <w:bottom w:val="nil"/>
              <w:right w:val="nil"/>
            </w:tcBorders>
            <w:shd w:val="clear" w:color="auto" w:fill="auto"/>
            <w:noWrap/>
            <w:vAlign w:val="bottom"/>
            <w:hideMark/>
          </w:tcPr>
          <w:p w14:paraId="7653F44C" w14:textId="77777777" w:rsidR="0002316A" w:rsidRPr="00C66BD5" w:rsidRDefault="0002316A" w:rsidP="005F3681">
            <w:pPr>
              <w:rPr>
                <w:rFonts w:ascii="Arial" w:eastAsia="Times New Roman" w:hAnsi="Arial" w:cs="Arial"/>
                <w:color w:val="000000"/>
                <w:sz w:val="22"/>
                <w:szCs w:val="22"/>
                <w:lang w:val="en-GB"/>
              </w:rPr>
            </w:pPr>
          </w:p>
        </w:tc>
        <w:tc>
          <w:tcPr>
            <w:tcW w:w="1256" w:type="dxa"/>
            <w:gridSpan w:val="2"/>
            <w:tcBorders>
              <w:top w:val="nil"/>
              <w:left w:val="nil"/>
              <w:bottom w:val="nil"/>
              <w:right w:val="nil"/>
            </w:tcBorders>
            <w:shd w:val="clear" w:color="auto" w:fill="auto"/>
            <w:noWrap/>
            <w:vAlign w:val="bottom"/>
            <w:hideMark/>
          </w:tcPr>
          <w:p w14:paraId="0DCFEC9E"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13</w:t>
            </w:r>
          </w:p>
        </w:tc>
        <w:tc>
          <w:tcPr>
            <w:tcW w:w="3376" w:type="dxa"/>
            <w:gridSpan w:val="2"/>
            <w:tcBorders>
              <w:top w:val="nil"/>
              <w:left w:val="nil"/>
              <w:bottom w:val="nil"/>
              <w:right w:val="nil"/>
            </w:tcBorders>
            <w:shd w:val="clear" w:color="auto" w:fill="auto"/>
            <w:noWrap/>
            <w:vAlign w:val="bottom"/>
            <w:hideMark/>
          </w:tcPr>
          <w:p w14:paraId="7CB5172D"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fusiform</w:t>
            </w:r>
          </w:p>
        </w:tc>
        <w:tc>
          <w:tcPr>
            <w:tcW w:w="815" w:type="dxa"/>
            <w:gridSpan w:val="2"/>
            <w:tcBorders>
              <w:top w:val="nil"/>
              <w:left w:val="nil"/>
              <w:bottom w:val="nil"/>
              <w:right w:val="nil"/>
            </w:tcBorders>
            <w:shd w:val="clear" w:color="auto" w:fill="auto"/>
            <w:noWrap/>
            <w:hideMark/>
          </w:tcPr>
          <w:p w14:paraId="4A4718E0"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L</w:t>
            </w:r>
          </w:p>
        </w:tc>
        <w:tc>
          <w:tcPr>
            <w:tcW w:w="1377" w:type="dxa"/>
            <w:gridSpan w:val="2"/>
            <w:tcBorders>
              <w:top w:val="nil"/>
              <w:left w:val="nil"/>
              <w:bottom w:val="nil"/>
              <w:right w:val="nil"/>
            </w:tcBorders>
            <w:shd w:val="clear" w:color="auto" w:fill="auto"/>
            <w:noWrap/>
            <w:hideMark/>
          </w:tcPr>
          <w:p w14:paraId="24922936" w14:textId="77777777" w:rsidR="0002316A" w:rsidRPr="00C66BD5" w:rsidRDefault="0002316A" w:rsidP="005F3681">
            <w:pPr>
              <w:jc w:val="center"/>
              <w:rPr>
                <w:rFonts w:ascii="Arial" w:eastAsia="Times New Roman" w:hAnsi="Arial" w:cs="Arial"/>
                <w:color w:val="000000"/>
                <w:sz w:val="22"/>
                <w:szCs w:val="22"/>
                <w:lang w:val="en-GB"/>
              </w:rPr>
            </w:pPr>
            <w:r>
              <w:rPr>
                <w:rFonts w:ascii="Arial" w:eastAsia="Times New Roman" w:hAnsi="Arial" w:cs="Arial"/>
                <w:color w:val="000000"/>
                <w:sz w:val="22"/>
                <w:szCs w:val="22"/>
                <w:lang w:val="en-GB"/>
              </w:rPr>
              <w:t>37</w:t>
            </w:r>
          </w:p>
        </w:tc>
        <w:tc>
          <w:tcPr>
            <w:tcW w:w="1956" w:type="dxa"/>
            <w:gridSpan w:val="4"/>
            <w:tcBorders>
              <w:top w:val="nil"/>
              <w:left w:val="nil"/>
              <w:bottom w:val="nil"/>
              <w:right w:val="nil"/>
            </w:tcBorders>
            <w:shd w:val="clear" w:color="auto" w:fill="auto"/>
            <w:noWrap/>
            <w:vAlign w:val="bottom"/>
            <w:hideMark/>
          </w:tcPr>
          <w:p w14:paraId="1643BC4F"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538</w:t>
            </w:r>
          </w:p>
        </w:tc>
        <w:tc>
          <w:tcPr>
            <w:tcW w:w="915" w:type="dxa"/>
            <w:gridSpan w:val="2"/>
            <w:tcBorders>
              <w:top w:val="nil"/>
              <w:left w:val="nil"/>
              <w:bottom w:val="nil"/>
              <w:right w:val="nil"/>
            </w:tcBorders>
            <w:shd w:val="clear" w:color="auto" w:fill="auto"/>
            <w:noWrap/>
            <w:vAlign w:val="bottom"/>
            <w:hideMark/>
          </w:tcPr>
          <w:p w14:paraId="3F9BE550"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-30.6</w:t>
            </w:r>
          </w:p>
        </w:tc>
        <w:tc>
          <w:tcPr>
            <w:tcW w:w="915" w:type="dxa"/>
            <w:gridSpan w:val="2"/>
            <w:tcBorders>
              <w:top w:val="nil"/>
              <w:left w:val="nil"/>
              <w:bottom w:val="nil"/>
              <w:right w:val="nil"/>
            </w:tcBorders>
            <w:shd w:val="clear" w:color="auto" w:fill="auto"/>
            <w:noWrap/>
            <w:vAlign w:val="bottom"/>
            <w:hideMark/>
          </w:tcPr>
          <w:p w14:paraId="5AB8F3E5"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-44</w:t>
            </w:r>
          </w:p>
        </w:tc>
        <w:tc>
          <w:tcPr>
            <w:tcW w:w="915" w:type="dxa"/>
            <w:gridSpan w:val="2"/>
            <w:tcBorders>
              <w:top w:val="nil"/>
              <w:left w:val="nil"/>
              <w:bottom w:val="nil"/>
              <w:right w:val="nil"/>
            </w:tcBorders>
            <w:shd w:val="clear" w:color="auto" w:fill="auto"/>
            <w:noWrap/>
            <w:vAlign w:val="bottom"/>
            <w:hideMark/>
          </w:tcPr>
          <w:p w14:paraId="04717D20"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-14.5</w:t>
            </w:r>
          </w:p>
        </w:tc>
        <w:tc>
          <w:tcPr>
            <w:tcW w:w="1126" w:type="dxa"/>
            <w:tcBorders>
              <w:top w:val="nil"/>
              <w:left w:val="nil"/>
              <w:bottom w:val="nil"/>
              <w:right w:val="nil"/>
            </w:tcBorders>
            <w:shd w:val="clear" w:color="auto" w:fill="auto"/>
            <w:noWrap/>
            <w:vAlign w:val="bottom"/>
            <w:hideMark/>
          </w:tcPr>
          <w:p w14:paraId="10D9DB71"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2.777</w:t>
            </w:r>
          </w:p>
        </w:tc>
      </w:tr>
      <w:tr w:rsidR="0002316A" w:rsidRPr="00C66BD5" w14:paraId="2218AD75" w14:textId="77777777" w:rsidTr="005F3681">
        <w:trPr>
          <w:trHeight w:val="300"/>
        </w:trPr>
        <w:tc>
          <w:tcPr>
            <w:tcW w:w="1829" w:type="dxa"/>
            <w:gridSpan w:val="2"/>
            <w:tcBorders>
              <w:top w:val="nil"/>
              <w:left w:val="nil"/>
              <w:bottom w:val="nil"/>
              <w:right w:val="nil"/>
            </w:tcBorders>
            <w:shd w:val="clear" w:color="auto" w:fill="auto"/>
            <w:noWrap/>
            <w:vAlign w:val="bottom"/>
            <w:hideMark/>
          </w:tcPr>
          <w:p w14:paraId="523113C4" w14:textId="77777777" w:rsidR="0002316A" w:rsidRPr="00C66BD5" w:rsidRDefault="0002316A" w:rsidP="005F3681">
            <w:pPr>
              <w:rPr>
                <w:rFonts w:ascii="Arial" w:eastAsia="Times New Roman" w:hAnsi="Arial" w:cs="Arial"/>
                <w:color w:val="000000"/>
                <w:sz w:val="22"/>
                <w:szCs w:val="22"/>
                <w:lang w:val="en-GB"/>
              </w:rPr>
            </w:pPr>
          </w:p>
        </w:tc>
        <w:tc>
          <w:tcPr>
            <w:tcW w:w="1256" w:type="dxa"/>
            <w:gridSpan w:val="2"/>
            <w:tcBorders>
              <w:top w:val="nil"/>
              <w:left w:val="nil"/>
              <w:bottom w:val="nil"/>
              <w:right w:val="nil"/>
            </w:tcBorders>
            <w:shd w:val="clear" w:color="auto" w:fill="auto"/>
            <w:noWrap/>
            <w:vAlign w:val="bottom"/>
            <w:hideMark/>
          </w:tcPr>
          <w:p w14:paraId="3FD021D7"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14</w:t>
            </w:r>
          </w:p>
        </w:tc>
        <w:tc>
          <w:tcPr>
            <w:tcW w:w="3376" w:type="dxa"/>
            <w:gridSpan w:val="2"/>
            <w:tcBorders>
              <w:top w:val="nil"/>
              <w:left w:val="nil"/>
              <w:bottom w:val="nil"/>
              <w:right w:val="nil"/>
            </w:tcBorders>
            <w:shd w:val="clear" w:color="auto" w:fill="auto"/>
            <w:noWrap/>
            <w:vAlign w:val="bottom"/>
            <w:hideMark/>
          </w:tcPr>
          <w:p w14:paraId="2EAF1491"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posteriorcingulate</w:t>
            </w:r>
          </w:p>
        </w:tc>
        <w:tc>
          <w:tcPr>
            <w:tcW w:w="815" w:type="dxa"/>
            <w:gridSpan w:val="2"/>
            <w:tcBorders>
              <w:top w:val="nil"/>
              <w:left w:val="nil"/>
              <w:bottom w:val="nil"/>
              <w:right w:val="nil"/>
            </w:tcBorders>
            <w:shd w:val="clear" w:color="auto" w:fill="auto"/>
            <w:noWrap/>
            <w:hideMark/>
          </w:tcPr>
          <w:p w14:paraId="0DB4C1E4"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L</w:t>
            </w:r>
          </w:p>
        </w:tc>
        <w:tc>
          <w:tcPr>
            <w:tcW w:w="1377" w:type="dxa"/>
            <w:gridSpan w:val="2"/>
            <w:tcBorders>
              <w:top w:val="nil"/>
              <w:left w:val="nil"/>
              <w:bottom w:val="nil"/>
              <w:right w:val="nil"/>
            </w:tcBorders>
            <w:shd w:val="clear" w:color="auto" w:fill="auto"/>
            <w:noWrap/>
            <w:hideMark/>
          </w:tcPr>
          <w:p w14:paraId="6A7EF8AE" w14:textId="77777777" w:rsidR="0002316A" w:rsidRPr="00C66BD5" w:rsidRDefault="0002316A" w:rsidP="005F3681">
            <w:pPr>
              <w:jc w:val="center"/>
              <w:rPr>
                <w:rFonts w:ascii="Arial" w:eastAsia="Times New Roman" w:hAnsi="Arial" w:cs="Arial"/>
                <w:color w:val="000000"/>
                <w:sz w:val="22"/>
                <w:szCs w:val="22"/>
                <w:lang w:val="en-GB"/>
              </w:rPr>
            </w:pPr>
            <w:r>
              <w:rPr>
                <w:rFonts w:ascii="Arial" w:eastAsia="Times New Roman" w:hAnsi="Arial" w:cs="Arial"/>
                <w:color w:val="000000"/>
                <w:sz w:val="22"/>
                <w:szCs w:val="22"/>
                <w:lang w:val="en-GB"/>
              </w:rPr>
              <w:t>23</w:t>
            </w:r>
          </w:p>
        </w:tc>
        <w:tc>
          <w:tcPr>
            <w:tcW w:w="1956" w:type="dxa"/>
            <w:gridSpan w:val="4"/>
            <w:tcBorders>
              <w:top w:val="nil"/>
              <w:left w:val="nil"/>
              <w:bottom w:val="nil"/>
              <w:right w:val="nil"/>
            </w:tcBorders>
            <w:shd w:val="clear" w:color="auto" w:fill="auto"/>
            <w:noWrap/>
            <w:vAlign w:val="bottom"/>
            <w:hideMark/>
          </w:tcPr>
          <w:p w14:paraId="24171589"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657</w:t>
            </w:r>
          </w:p>
        </w:tc>
        <w:tc>
          <w:tcPr>
            <w:tcW w:w="915" w:type="dxa"/>
            <w:gridSpan w:val="2"/>
            <w:tcBorders>
              <w:top w:val="nil"/>
              <w:left w:val="nil"/>
              <w:bottom w:val="nil"/>
              <w:right w:val="nil"/>
            </w:tcBorders>
            <w:shd w:val="clear" w:color="auto" w:fill="auto"/>
            <w:noWrap/>
            <w:vAlign w:val="bottom"/>
            <w:hideMark/>
          </w:tcPr>
          <w:p w14:paraId="24A1F8F2"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-8.3</w:t>
            </w:r>
          </w:p>
        </w:tc>
        <w:tc>
          <w:tcPr>
            <w:tcW w:w="915" w:type="dxa"/>
            <w:gridSpan w:val="2"/>
            <w:tcBorders>
              <w:top w:val="nil"/>
              <w:left w:val="nil"/>
              <w:bottom w:val="nil"/>
              <w:right w:val="nil"/>
            </w:tcBorders>
            <w:shd w:val="clear" w:color="auto" w:fill="auto"/>
            <w:noWrap/>
            <w:vAlign w:val="bottom"/>
            <w:hideMark/>
          </w:tcPr>
          <w:p w14:paraId="74D81D06"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-24.6</w:t>
            </w:r>
          </w:p>
        </w:tc>
        <w:tc>
          <w:tcPr>
            <w:tcW w:w="915" w:type="dxa"/>
            <w:gridSpan w:val="2"/>
            <w:tcBorders>
              <w:top w:val="nil"/>
              <w:left w:val="nil"/>
              <w:bottom w:val="nil"/>
              <w:right w:val="nil"/>
            </w:tcBorders>
            <w:shd w:val="clear" w:color="auto" w:fill="auto"/>
            <w:noWrap/>
            <w:vAlign w:val="bottom"/>
            <w:hideMark/>
          </w:tcPr>
          <w:p w14:paraId="21DE6977"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28.4</w:t>
            </w:r>
          </w:p>
        </w:tc>
        <w:tc>
          <w:tcPr>
            <w:tcW w:w="1126" w:type="dxa"/>
            <w:tcBorders>
              <w:top w:val="nil"/>
              <w:left w:val="nil"/>
              <w:bottom w:val="nil"/>
              <w:right w:val="nil"/>
            </w:tcBorders>
            <w:shd w:val="clear" w:color="auto" w:fill="auto"/>
            <w:noWrap/>
            <w:vAlign w:val="bottom"/>
            <w:hideMark/>
          </w:tcPr>
          <w:p w14:paraId="6C80BE7D"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3.382</w:t>
            </w:r>
          </w:p>
        </w:tc>
      </w:tr>
      <w:tr w:rsidR="0002316A" w:rsidRPr="00C66BD5" w14:paraId="1E12A5B6" w14:textId="77777777" w:rsidTr="005F3681">
        <w:trPr>
          <w:trHeight w:val="300"/>
        </w:trPr>
        <w:tc>
          <w:tcPr>
            <w:tcW w:w="1829" w:type="dxa"/>
            <w:gridSpan w:val="2"/>
            <w:tcBorders>
              <w:top w:val="nil"/>
              <w:left w:val="nil"/>
              <w:bottom w:val="nil"/>
              <w:right w:val="nil"/>
            </w:tcBorders>
            <w:shd w:val="clear" w:color="auto" w:fill="auto"/>
            <w:noWrap/>
            <w:vAlign w:val="bottom"/>
            <w:hideMark/>
          </w:tcPr>
          <w:p w14:paraId="27C338A6" w14:textId="77777777" w:rsidR="0002316A" w:rsidRPr="00C66BD5" w:rsidRDefault="0002316A" w:rsidP="005F3681">
            <w:pPr>
              <w:rPr>
                <w:rFonts w:ascii="Arial" w:eastAsia="Times New Roman" w:hAnsi="Arial" w:cs="Arial"/>
                <w:color w:val="000000"/>
                <w:sz w:val="22"/>
                <w:szCs w:val="22"/>
                <w:lang w:val="en-GB"/>
              </w:rPr>
            </w:pPr>
          </w:p>
        </w:tc>
        <w:tc>
          <w:tcPr>
            <w:tcW w:w="1256" w:type="dxa"/>
            <w:gridSpan w:val="2"/>
            <w:tcBorders>
              <w:top w:val="nil"/>
              <w:left w:val="nil"/>
              <w:bottom w:val="nil"/>
              <w:right w:val="nil"/>
            </w:tcBorders>
            <w:shd w:val="clear" w:color="auto" w:fill="auto"/>
            <w:noWrap/>
            <w:vAlign w:val="bottom"/>
            <w:hideMark/>
          </w:tcPr>
          <w:p w14:paraId="0760F54D"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15</w:t>
            </w:r>
          </w:p>
        </w:tc>
        <w:tc>
          <w:tcPr>
            <w:tcW w:w="3376" w:type="dxa"/>
            <w:gridSpan w:val="2"/>
            <w:tcBorders>
              <w:top w:val="nil"/>
              <w:left w:val="nil"/>
              <w:bottom w:val="nil"/>
              <w:right w:val="nil"/>
            </w:tcBorders>
            <w:shd w:val="clear" w:color="auto" w:fill="auto"/>
            <w:noWrap/>
            <w:vAlign w:val="bottom"/>
            <w:hideMark/>
          </w:tcPr>
          <w:p w14:paraId="2DAF38E8"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superiorfrontal</w:t>
            </w:r>
          </w:p>
        </w:tc>
        <w:tc>
          <w:tcPr>
            <w:tcW w:w="815" w:type="dxa"/>
            <w:gridSpan w:val="2"/>
            <w:tcBorders>
              <w:top w:val="nil"/>
              <w:left w:val="nil"/>
              <w:bottom w:val="nil"/>
              <w:right w:val="nil"/>
            </w:tcBorders>
            <w:shd w:val="clear" w:color="auto" w:fill="auto"/>
            <w:noWrap/>
            <w:hideMark/>
          </w:tcPr>
          <w:p w14:paraId="3626DD05"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L</w:t>
            </w:r>
          </w:p>
        </w:tc>
        <w:tc>
          <w:tcPr>
            <w:tcW w:w="1377" w:type="dxa"/>
            <w:gridSpan w:val="2"/>
            <w:tcBorders>
              <w:top w:val="nil"/>
              <w:left w:val="nil"/>
              <w:bottom w:val="nil"/>
              <w:right w:val="nil"/>
            </w:tcBorders>
            <w:shd w:val="clear" w:color="auto" w:fill="auto"/>
            <w:noWrap/>
            <w:hideMark/>
          </w:tcPr>
          <w:p w14:paraId="0BF9E043" w14:textId="77777777" w:rsidR="0002316A" w:rsidRPr="00C66BD5" w:rsidRDefault="0002316A" w:rsidP="005F3681">
            <w:pPr>
              <w:jc w:val="center"/>
              <w:rPr>
                <w:rFonts w:ascii="Arial" w:eastAsia="Times New Roman" w:hAnsi="Arial" w:cs="Arial"/>
                <w:color w:val="000000"/>
                <w:sz w:val="22"/>
                <w:szCs w:val="22"/>
                <w:lang w:val="en-GB"/>
              </w:rPr>
            </w:pPr>
            <w:r>
              <w:rPr>
                <w:rFonts w:ascii="Arial" w:eastAsia="Times New Roman" w:hAnsi="Arial" w:cs="Arial"/>
                <w:color w:val="000000"/>
                <w:sz w:val="22"/>
                <w:szCs w:val="22"/>
                <w:lang w:val="en-GB"/>
              </w:rPr>
              <w:t>6</w:t>
            </w:r>
          </w:p>
        </w:tc>
        <w:tc>
          <w:tcPr>
            <w:tcW w:w="1956" w:type="dxa"/>
            <w:gridSpan w:val="4"/>
            <w:tcBorders>
              <w:top w:val="nil"/>
              <w:left w:val="nil"/>
              <w:bottom w:val="nil"/>
              <w:right w:val="nil"/>
            </w:tcBorders>
            <w:shd w:val="clear" w:color="auto" w:fill="auto"/>
            <w:noWrap/>
            <w:vAlign w:val="bottom"/>
            <w:hideMark/>
          </w:tcPr>
          <w:p w14:paraId="0C1D1CD8"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585</w:t>
            </w:r>
          </w:p>
        </w:tc>
        <w:tc>
          <w:tcPr>
            <w:tcW w:w="915" w:type="dxa"/>
            <w:gridSpan w:val="2"/>
            <w:tcBorders>
              <w:top w:val="nil"/>
              <w:left w:val="nil"/>
              <w:bottom w:val="nil"/>
              <w:right w:val="nil"/>
            </w:tcBorders>
            <w:shd w:val="clear" w:color="auto" w:fill="auto"/>
            <w:noWrap/>
            <w:vAlign w:val="bottom"/>
            <w:hideMark/>
          </w:tcPr>
          <w:p w14:paraId="53E84E47"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-7.9</w:t>
            </w:r>
          </w:p>
        </w:tc>
        <w:tc>
          <w:tcPr>
            <w:tcW w:w="915" w:type="dxa"/>
            <w:gridSpan w:val="2"/>
            <w:tcBorders>
              <w:top w:val="nil"/>
              <w:left w:val="nil"/>
              <w:bottom w:val="nil"/>
              <w:right w:val="nil"/>
            </w:tcBorders>
            <w:shd w:val="clear" w:color="auto" w:fill="auto"/>
            <w:noWrap/>
            <w:vAlign w:val="bottom"/>
            <w:hideMark/>
          </w:tcPr>
          <w:p w14:paraId="120FE265"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-8.8</w:t>
            </w:r>
          </w:p>
        </w:tc>
        <w:tc>
          <w:tcPr>
            <w:tcW w:w="915" w:type="dxa"/>
            <w:gridSpan w:val="2"/>
            <w:tcBorders>
              <w:top w:val="nil"/>
              <w:left w:val="nil"/>
              <w:bottom w:val="nil"/>
              <w:right w:val="nil"/>
            </w:tcBorders>
            <w:shd w:val="clear" w:color="auto" w:fill="auto"/>
            <w:noWrap/>
            <w:vAlign w:val="bottom"/>
            <w:hideMark/>
          </w:tcPr>
          <w:p w14:paraId="066D060D"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61.7</w:t>
            </w:r>
          </w:p>
        </w:tc>
        <w:tc>
          <w:tcPr>
            <w:tcW w:w="1126" w:type="dxa"/>
            <w:tcBorders>
              <w:top w:val="nil"/>
              <w:left w:val="nil"/>
              <w:bottom w:val="nil"/>
              <w:right w:val="nil"/>
            </w:tcBorders>
            <w:shd w:val="clear" w:color="auto" w:fill="auto"/>
            <w:noWrap/>
            <w:vAlign w:val="bottom"/>
            <w:hideMark/>
          </w:tcPr>
          <w:p w14:paraId="1F8DCD88"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-2.769</w:t>
            </w:r>
          </w:p>
        </w:tc>
      </w:tr>
      <w:tr w:rsidR="0002316A" w:rsidRPr="00C66BD5" w14:paraId="0C7AC7AC" w14:textId="77777777" w:rsidTr="005F3681">
        <w:trPr>
          <w:trHeight w:val="300"/>
        </w:trPr>
        <w:tc>
          <w:tcPr>
            <w:tcW w:w="1829" w:type="dxa"/>
            <w:gridSpan w:val="2"/>
            <w:tcBorders>
              <w:top w:val="nil"/>
              <w:left w:val="nil"/>
              <w:bottom w:val="nil"/>
              <w:right w:val="nil"/>
            </w:tcBorders>
            <w:shd w:val="clear" w:color="auto" w:fill="auto"/>
            <w:noWrap/>
            <w:vAlign w:val="bottom"/>
            <w:hideMark/>
          </w:tcPr>
          <w:p w14:paraId="4C6BFFA6" w14:textId="77777777" w:rsidR="0002316A" w:rsidRPr="00C66BD5" w:rsidRDefault="0002316A" w:rsidP="005F3681">
            <w:pPr>
              <w:rPr>
                <w:rFonts w:ascii="Arial" w:eastAsia="Times New Roman" w:hAnsi="Arial" w:cs="Arial"/>
                <w:color w:val="000000"/>
                <w:sz w:val="22"/>
                <w:szCs w:val="22"/>
                <w:lang w:val="en-GB"/>
              </w:rPr>
            </w:pPr>
          </w:p>
        </w:tc>
        <w:tc>
          <w:tcPr>
            <w:tcW w:w="1256" w:type="dxa"/>
            <w:gridSpan w:val="2"/>
            <w:tcBorders>
              <w:top w:val="nil"/>
              <w:left w:val="nil"/>
              <w:bottom w:val="nil"/>
              <w:right w:val="nil"/>
            </w:tcBorders>
            <w:shd w:val="clear" w:color="auto" w:fill="auto"/>
            <w:noWrap/>
            <w:vAlign w:val="bottom"/>
            <w:hideMark/>
          </w:tcPr>
          <w:p w14:paraId="663B568C"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16</w:t>
            </w:r>
          </w:p>
        </w:tc>
        <w:tc>
          <w:tcPr>
            <w:tcW w:w="3376" w:type="dxa"/>
            <w:gridSpan w:val="2"/>
            <w:tcBorders>
              <w:top w:val="nil"/>
              <w:left w:val="nil"/>
              <w:bottom w:val="nil"/>
              <w:right w:val="nil"/>
            </w:tcBorders>
            <w:shd w:val="clear" w:color="auto" w:fill="auto"/>
            <w:noWrap/>
            <w:vAlign w:val="bottom"/>
            <w:hideMark/>
          </w:tcPr>
          <w:p w14:paraId="0D74317F"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superiorparietal</w:t>
            </w:r>
          </w:p>
        </w:tc>
        <w:tc>
          <w:tcPr>
            <w:tcW w:w="815" w:type="dxa"/>
            <w:gridSpan w:val="2"/>
            <w:tcBorders>
              <w:top w:val="nil"/>
              <w:left w:val="nil"/>
              <w:bottom w:val="nil"/>
              <w:right w:val="nil"/>
            </w:tcBorders>
            <w:shd w:val="clear" w:color="auto" w:fill="auto"/>
            <w:noWrap/>
            <w:hideMark/>
          </w:tcPr>
          <w:p w14:paraId="3D9B998C"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L</w:t>
            </w:r>
          </w:p>
        </w:tc>
        <w:tc>
          <w:tcPr>
            <w:tcW w:w="1377" w:type="dxa"/>
            <w:gridSpan w:val="2"/>
            <w:tcBorders>
              <w:top w:val="nil"/>
              <w:left w:val="nil"/>
              <w:bottom w:val="nil"/>
              <w:right w:val="nil"/>
            </w:tcBorders>
            <w:shd w:val="clear" w:color="auto" w:fill="auto"/>
            <w:noWrap/>
            <w:hideMark/>
          </w:tcPr>
          <w:p w14:paraId="155E637B" w14:textId="77777777" w:rsidR="0002316A" w:rsidRPr="00C66BD5" w:rsidRDefault="0002316A" w:rsidP="005F3681">
            <w:pPr>
              <w:jc w:val="center"/>
              <w:rPr>
                <w:rFonts w:ascii="Arial" w:eastAsia="Times New Roman" w:hAnsi="Arial" w:cs="Arial"/>
                <w:color w:val="000000"/>
                <w:sz w:val="22"/>
                <w:szCs w:val="22"/>
                <w:lang w:val="en-GB"/>
              </w:rPr>
            </w:pPr>
            <w:r>
              <w:rPr>
                <w:rFonts w:ascii="Arial" w:eastAsia="Times New Roman" w:hAnsi="Arial" w:cs="Arial"/>
                <w:color w:val="000000"/>
                <w:sz w:val="22"/>
                <w:szCs w:val="22"/>
                <w:lang w:val="en-GB"/>
              </w:rPr>
              <w:t>40</w:t>
            </w:r>
          </w:p>
        </w:tc>
        <w:tc>
          <w:tcPr>
            <w:tcW w:w="1956" w:type="dxa"/>
            <w:gridSpan w:val="4"/>
            <w:tcBorders>
              <w:top w:val="nil"/>
              <w:left w:val="nil"/>
              <w:bottom w:val="nil"/>
              <w:right w:val="nil"/>
            </w:tcBorders>
            <w:shd w:val="clear" w:color="auto" w:fill="auto"/>
            <w:noWrap/>
            <w:vAlign w:val="bottom"/>
            <w:hideMark/>
          </w:tcPr>
          <w:p w14:paraId="611B346E"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420</w:t>
            </w:r>
          </w:p>
        </w:tc>
        <w:tc>
          <w:tcPr>
            <w:tcW w:w="915" w:type="dxa"/>
            <w:gridSpan w:val="2"/>
            <w:tcBorders>
              <w:top w:val="nil"/>
              <w:left w:val="nil"/>
              <w:bottom w:val="nil"/>
              <w:right w:val="nil"/>
            </w:tcBorders>
            <w:shd w:val="clear" w:color="auto" w:fill="auto"/>
            <w:noWrap/>
            <w:vAlign w:val="bottom"/>
            <w:hideMark/>
          </w:tcPr>
          <w:p w14:paraId="6BB75C7D"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-34.6</w:t>
            </w:r>
          </w:p>
        </w:tc>
        <w:tc>
          <w:tcPr>
            <w:tcW w:w="915" w:type="dxa"/>
            <w:gridSpan w:val="2"/>
            <w:tcBorders>
              <w:top w:val="nil"/>
              <w:left w:val="nil"/>
              <w:bottom w:val="nil"/>
              <w:right w:val="nil"/>
            </w:tcBorders>
            <w:shd w:val="clear" w:color="auto" w:fill="auto"/>
            <w:noWrap/>
            <w:vAlign w:val="bottom"/>
            <w:hideMark/>
          </w:tcPr>
          <w:p w14:paraId="74642344"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-41.5</w:t>
            </w:r>
          </w:p>
        </w:tc>
        <w:tc>
          <w:tcPr>
            <w:tcW w:w="915" w:type="dxa"/>
            <w:gridSpan w:val="2"/>
            <w:tcBorders>
              <w:top w:val="nil"/>
              <w:left w:val="nil"/>
              <w:bottom w:val="nil"/>
              <w:right w:val="nil"/>
            </w:tcBorders>
            <w:shd w:val="clear" w:color="auto" w:fill="auto"/>
            <w:noWrap/>
            <w:vAlign w:val="bottom"/>
            <w:hideMark/>
          </w:tcPr>
          <w:p w14:paraId="40A9CB48"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43.4</w:t>
            </w:r>
          </w:p>
        </w:tc>
        <w:tc>
          <w:tcPr>
            <w:tcW w:w="1126" w:type="dxa"/>
            <w:tcBorders>
              <w:top w:val="nil"/>
              <w:left w:val="nil"/>
              <w:bottom w:val="nil"/>
              <w:right w:val="nil"/>
            </w:tcBorders>
            <w:shd w:val="clear" w:color="auto" w:fill="auto"/>
            <w:noWrap/>
            <w:vAlign w:val="bottom"/>
            <w:hideMark/>
          </w:tcPr>
          <w:p w14:paraId="4CE8726E"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-2.678</w:t>
            </w:r>
          </w:p>
        </w:tc>
      </w:tr>
      <w:tr w:rsidR="0002316A" w:rsidRPr="00C66BD5" w14:paraId="5EE28D4B" w14:textId="77777777" w:rsidTr="005F3681">
        <w:trPr>
          <w:trHeight w:val="300"/>
        </w:trPr>
        <w:tc>
          <w:tcPr>
            <w:tcW w:w="1829" w:type="dxa"/>
            <w:gridSpan w:val="2"/>
            <w:tcBorders>
              <w:top w:val="nil"/>
              <w:left w:val="nil"/>
              <w:bottom w:val="nil"/>
              <w:right w:val="nil"/>
            </w:tcBorders>
            <w:shd w:val="clear" w:color="auto" w:fill="auto"/>
            <w:noWrap/>
            <w:vAlign w:val="bottom"/>
            <w:hideMark/>
          </w:tcPr>
          <w:p w14:paraId="5D4ABF90" w14:textId="77777777" w:rsidR="0002316A" w:rsidRPr="00C66BD5" w:rsidRDefault="0002316A" w:rsidP="005F3681">
            <w:pPr>
              <w:rPr>
                <w:rFonts w:ascii="Arial" w:eastAsia="Times New Roman" w:hAnsi="Arial" w:cs="Arial"/>
                <w:color w:val="000000"/>
                <w:sz w:val="22"/>
                <w:szCs w:val="22"/>
                <w:lang w:val="en-GB"/>
              </w:rPr>
            </w:pPr>
          </w:p>
        </w:tc>
        <w:tc>
          <w:tcPr>
            <w:tcW w:w="1256" w:type="dxa"/>
            <w:gridSpan w:val="2"/>
            <w:tcBorders>
              <w:top w:val="nil"/>
              <w:left w:val="nil"/>
              <w:bottom w:val="nil"/>
              <w:right w:val="nil"/>
            </w:tcBorders>
            <w:shd w:val="clear" w:color="auto" w:fill="auto"/>
            <w:noWrap/>
            <w:vAlign w:val="bottom"/>
            <w:hideMark/>
          </w:tcPr>
          <w:p w14:paraId="17A3EC5A"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17</w:t>
            </w:r>
          </w:p>
        </w:tc>
        <w:tc>
          <w:tcPr>
            <w:tcW w:w="3376" w:type="dxa"/>
            <w:gridSpan w:val="2"/>
            <w:tcBorders>
              <w:top w:val="nil"/>
              <w:left w:val="nil"/>
              <w:bottom w:val="nil"/>
              <w:right w:val="nil"/>
            </w:tcBorders>
            <w:shd w:val="clear" w:color="auto" w:fill="auto"/>
            <w:noWrap/>
            <w:vAlign w:val="bottom"/>
            <w:hideMark/>
          </w:tcPr>
          <w:p w14:paraId="06AF07E6"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entorhinal</w:t>
            </w:r>
          </w:p>
        </w:tc>
        <w:tc>
          <w:tcPr>
            <w:tcW w:w="815" w:type="dxa"/>
            <w:gridSpan w:val="2"/>
            <w:tcBorders>
              <w:top w:val="nil"/>
              <w:left w:val="nil"/>
              <w:bottom w:val="nil"/>
              <w:right w:val="nil"/>
            </w:tcBorders>
            <w:shd w:val="clear" w:color="auto" w:fill="auto"/>
            <w:noWrap/>
            <w:hideMark/>
          </w:tcPr>
          <w:p w14:paraId="03CEB5CF"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L</w:t>
            </w:r>
          </w:p>
        </w:tc>
        <w:tc>
          <w:tcPr>
            <w:tcW w:w="1377" w:type="dxa"/>
            <w:gridSpan w:val="2"/>
            <w:tcBorders>
              <w:top w:val="nil"/>
              <w:left w:val="nil"/>
              <w:bottom w:val="nil"/>
              <w:right w:val="nil"/>
            </w:tcBorders>
            <w:shd w:val="clear" w:color="auto" w:fill="auto"/>
            <w:noWrap/>
            <w:hideMark/>
          </w:tcPr>
          <w:p w14:paraId="2C2182F8" w14:textId="77777777" w:rsidR="0002316A" w:rsidRPr="00C66BD5" w:rsidRDefault="0002316A" w:rsidP="005F3681">
            <w:pPr>
              <w:jc w:val="center"/>
              <w:rPr>
                <w:rFonts w:ascii="Arial" w:eastAsia="Times New Roman" w:hAnsi="Arial" w:cs="Arial"/>
                <w:color w:val="000000"/>
                <w:sz w:val="22"/>
                <w:szCs w:val="22"/>
                <w:lang w:val="en-GB"/>
              </w:rPr>
            </w:pPr>
            <w:r>
              <w:rPr>
                <w:rFonts w:ascii="Arial" w:eastAsia="Times New Roman" w:hAnsi="Arial" w:cs="Arial"/>
                <w:color w:val="000000"/>
                <w:sz w:val="22"/>
                <w:szCs w:val="22"/>
                <w:lang w:val="en-GB"/>
              </w:rPr>
              <w:t>28</w:t>
            </w:r>
          </w:p>
        </w:tc>
        <w:tc>
          <w:tcPr>
            <w:tcW w:w="1956" w:type="dxa"/>
            <w:gridSpan w:val="4"/>
            <w:tcBorders>
              <w:top w:val="nil"/>
              <w:left w:val="nil"/>
              <w:bottom w:val="nil"/>
              <w:right w:val="nil"/>
            </w:tcBorders>
            <w:shd w:val="clear" w:color="auto" w:fill="auto"/>
            <w:noWrap/>
            <w:vAlign w:val="bottom"/>
            <w:hideMark/>
          </w:tcPr>
          <w:p w14:paraId="1CAA237C"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300</w:t>
            </w:r>
          </w:p>
        </w:tc>
        <w:tc>
          <w:tcPr>
            <w:tcW w:w="915" w:type="dxa"/>
            <w:gridSpan w:val="2"/>
            <w:tcBorders>
              <w:top w:val="nil"/>
              <w:left w:val="nil"/>
              <w:bottom w:val="nil"/>
              <w:right w:val="nil"/>
            </w:tcBorders>
            <w:shd w:val="clear" w:color="auto" w:fill="auto"/>
            <w:noWrap/>
            <w:vAlign w:val="bottom"/>
            <w:hideMark/>
          </w:tcPr>
          <w:p w14:paraId="46201926"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-26.7</w:t>
            </w:r>
          </w:p>
        </w:tc>
        <w:tc>
          <w:tcPr>
            <w:tcW w:w="915" w:type="dxa"/>
            <w:gridSpan w:val="2"/>
            <w:tcBorders>
              <w:top w:val="nil"/>
              <w:left w:val="nil"/>
              <w:bottom w:val="nil"/>
              <w:right w:val="nil"/>
            </w:tcBorders>
            <w:shd w:val="clear" w:color="auto" w:fill="auto"/>
            <w:noWrap/>
            <w:vAlign w:val="bottom"/>
            <w:hideMark/>
          </w:tcPr>
          <w:p w14:paraId="58719D1F"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-8.4</w:t>
            </w:r>
          </w:p>
        </w:tc>
        <w:tc>
          <w:tcPr>
            <w:tcW w:w="915" w:type="dxa"/>
            <w:gridSpan w:val="2"/>
            <w:tcBorders>
              <w:top w:val="nil"/>
              <w:left w:val="nil"/>
              <w:bottom w:val="nil"/>
              <w:right w:val="nil"/>
            </w:tcBorders>
            <w:shd w:val="clear" w:color="auto" w:fill="auto"/>
            <w:noWrap/>
            <w:vAlign w:val="bottom"/>
            <w:hideMark/>
          </w:tcPr>
          <w:p w14:paraId="19A591B2"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-28.2</w:t>
            </w:r>
          </w:p>
        </w:tc>
        <w:tc>
          <w:tcPr>
            <w:tcW w:w="1126" w:type="dxa"/>
            <w:tcBorders>
              <w:top w:val="nil"/>
              <w:left w:val="nil"/>
              <w:bottom w:val="nil"/>
              <w:right w:val="nil"/>
            </w:tcBorders>
            <w:shd w:val="clear" w:color="auto" w:fill="auto"/>
            <w:noWrap/>
            <w:vAlign w:val="bottom"/>
            <w:hideMark/>
          </w:tcPr>
          <w:p w14:paraId="7FD30E8F"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3.102</w:t>
            </w:r>
          </w:p>
        </w:tc>
      </w:tr>
      <w:tr w:rsidR="0002316A" w:rsidRPr="00C66BD5" w14:paraId="7EBCA8B2" w14:textId="77777777" w:rsidTr="005F3681">
        <w:trPr>
          <w:trHeight w:val="300"/>
        </w:trPr>
        <w:tc>
          <w:tcPr>
            <w:tcW w:w="1829" w:type="dxa"/>
            <w:gridSpan w:val="2"/>
            <w:tcBorders>
              <w:top w:val="nil"/>
              <w:left w:val="nil"/>
              <w:bottom w:val="nil"/>
              <w:right w:val="nil"/>
            </w:tcBorders>
            <w:shd w:val="clear" w:color="auto" w:fill="auto"/>
            <w:noWrap/>
            <w:vAlign w:val="bottom"/>
            <w:hideMark/>
          </w:tcPr>
          <w:p w14:paraId="34534E23" w14:textId="77777777" w:rsidR="0002316A" w:rsidRPr="00C66BD5" w:rsidRDefault="0002316A" w:rsidP="005F3681">
            <w:pPr>
              <w:rPr>
                <w:rFonts w:ascii="Arial" w:eastAsia="Times New Roman" w:hAnsi="Arial" w:cs="Arial"/>
                <w:color w:val="000000"/>
                <w:sz w:val="22"/>
                <w:szCs w:val="22"/>
                <w:lang w:val="en-GB"/>
              </w:rPr>
            </w:pPr>
          </w:p>
        </w:tc>
        <w:tc>
          <w:tcPr>
            <w:tcW w:w="1256" w:type="dxa"/>
            <w:gridSpan w:val="2"/>
            <w:tcBorders>
              <w:top w:val="nil"/>
              <w:left w:val="nil"/>
              <w:bottom w:val="nil"/>
              <w:right w:val="nil"/>
            </w:tcBorders>
            <w:shd w:val="clear" w:color="auto" w:fill="auto"/>
            <w:noWrap/>
            <w:vAlign w:val="bottom"/>
            <w:hideMark/>
          </w:tcPr>
          <w:p w14:paraId="7AE97106"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18</w:t>
            </w:r>
          </w:p>
        </w:tc>
        <w:tc>
          <w:tcPr>
            <w:tcW w:w="3376" w:type="dxa"/>
            <w:gridSpan w:val="2"/>
            <w:tcBorders>
              <w:top w:val="nil"/>
              <w:left w:val="nil"/>
              <w:bottom w:val="nil"/>
              <w:right w:val="nil"/>
            </w:tcBorders>
            <w:shd w:val="clear" w:color="auto" w:fill="auto"/>
            <w:noWrap/>
            <w:vAlign w:val="bottom"/>
            <w:hideMark/>
          </w:tcPr>
          <w:p w14:paraId="68A1EAFD"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superiorparietal</w:t>
            </w:r>
          </w:p>
        </w:tc>
        <w:tc>
          <w:tcPr>
            <w:tcW w:w="815" w:type="dxa"/>
            <w:gridSpan w:val="2"/>
            <w:tcBorders>
              <w:top w:val="nil"/>
              <w:left w:val="nil"/>
              <w:bottom w:val="nil"/>
              <w:right w:val="nil"/>
            </w:tcBorders>
            <w:shd w:val="clear" w:color="auto" w:fill="auto"/>
            <w:noWrap/>
            <w:hideMark/>
          </w:tcPr>
          <w:p w14:paraId="26C0D6D6"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L</w:t>
            </w:r>
          </w:p>
        </w:tc>
        <w:tc>
          <w:tcPr>
            <w:tcW w:w="1377" w:type="dxa"/>
            <w:gridSpan w:val="2"/>
            <w:tcBorders>
              <w:top w:val="nil"/>
              <w:left w:val="nil"/>
              <w:bottom w:val="nil"/>
              <w:right w:val="nil"/>
            </w:tcBorders>
            <w:shd w:val="clear" w:color="auto" w:fill="auto"/>
            <w:noWrap/>
            <w:hideMark/>
          </w:tcPr>
          <w:p w14:paraId="4EFE8AEF" w14:textId="77777777" w:rsidR="0002316A" w:rsidRPr="00C66BD5" w:rsidRDefault="0002316A" w:rsidP="005F3681">
            <w:pPr>
              <w:jc w:val="center"/>
              <w:rPr>
                <w:rFonts w:ascii="Arial" w:eastAsia="Times New Roman" w:hAnsi="Arial" w:cs="Arial"/>
                <w:color w:val="000000"/>
                <w:sz w:val="22"/>
                <w:szCs w:val="22"/>
                <w:lang w:val="en-GB"/>
              </w:rPr>
            </w:pPr>
            <w:r>
              <w:rPr>
                <w:rFonts w:ascii="Arial" w:eastAsia="Times New Roman" w:hAnsi="Arial" w:cs="Arial"/>
                <w:color w:val="000000"/>
                <w:sz w:val="22"/>
                <w:szCs w:val="22"/>
                <w:lang w:val="en-GB"/>
              </w:rPr>
              <w:t>5</w:t>
            </w:r>
          </w:p>
        </w:tc>
        <w:tc>
          <w:tcPr>
            <w:tcW w:w="1956" w:type="dxa"/>
            <w:gridSpan w:val="4"/>
            <w:tcBorders>
              <w:top w:val="nil"/>
              <w:left w:val="nil"/>
              <w:bottom w:val="nil"/>
              <w:right w:val="nil"/>
            </w:tcBorders>
            <w:shd w:val="clear" w:color="auto" w:fill="auto"/>
            <w:noWrap/>
            <w:vAlign w:val="bottom"/>
            <w:hideMark/>
          </w:tcPr>
          <w:p w14:paraId="1624DFB3"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246</w:t>
            </w:r>
          </w:p>
        </w:tc>
        <w:tc>
          <w:tcPr>
            <w:tcW w:w="915" w:type="dxa"/>
            <w:gridSpan w:val="2"/>
            <w:tcBorders>
              <w:top w:val="nil"/>
              <w:left w:val="nil"/>
              <w:bottom w:val="nil"/>
              <w:right w:val="nil"/>
            </w:tcBorders>
            <w:shd w:val="clear" w:color="auto" w:fill="auto"/>
            <w:noWrap/>
            <w:vAlign w:val="bottom"/>
            <w:hideMark/>
          </w:tcPr>
          <w:p w14:paraId="1FA68695"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-33.4</w:t>
            </w:r>
          </w:p>
        </w:tc>
        <w:tc>
          <w:tcPr>
            <w:tcW w:w="915" w:type="dxa"/>
            <w:gridSpan w:val="2"/>
            <w:tcBorders>
              <w:top w:val="nil"/>
              <w:left w:val="nil"/>
              <w:bottom w:val="nil"/>
              <w:right w:val="nil"/>
            </w:tcBorders>
            <w:shd w:val="clear" w:color="auto" w:fill="auto"/>
            <w:noWrap/>
            <w:vAlign w:val="bottom"/>
            <w:hideMark/>
          </w:tcPr>
          <w:p w14:paraId="5285D094"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-44.3</w:t>
            </w:r>
          </w:p>
        </w:tc>
        <w:tc>
          <w:tcPr>
            <w:tcW w:w="915" w:type="dxa"/>
            <w:gridSpan w:val="2"/>
            <w:tcBorders>
              <w:top w:val="nil"/>
              <w:left w:val="nil"/>
              <w:bottom w:val="nil"/>
              <w:right w:val="nil"/>
            </w:tcBorders>
            <w:shd w:val="clear" w:color="auto" w:fill="auto"/>
            <w:noWrap/>
            <w:vAlign w:val="bottom"/>
            <w:hideMark/>
          </w:tcPr>
          <w:p w14:paraId="729F9E6C"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57.7</w:t>
            </w:r>
          </w:p>
        </w:tc>
        <w:tc>
          <w:tcPr>
            <w:tcW w:w="1126" w:type="dxa"/>
            <w:tcBorders>
              <w:top w:val="nil"/>
              <w:left w:val="nil"/>
              <w:bottom w:val="nil"/>
              <w:right w:val="nil"/>
            </w:tcBorders>
            <w:shd w:val="clear" w:color="auto" w:fill="auto"/>
            <w:noWrap/>
            <w:vAlign w:val="bottom"/>
            <w:hideMark/>
          </w:tcPr>
          <w:p w14:paraId="708D7B36"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-2.682</w:t>
            </w:r>
          </w:p>
        </w:tc>
      </w:tr>
      <w:tr w:rsidR="0002316A" w:rsidRPr="00C66BD5" w14:paraId="56864367" w14:textId="77777777" w:rsidTr="005F3681">
        <w:trPr>
          <w:trHeight w:val="300"/>
        </w:trPr>
        <w:tc>
          <w:tcPr>
            <w:tcW w:w="1829" w:type="dxa"/>
            <w:gridSpan w:val="2"/>
            <w:tcBorders>
              <w:top w:val="nil"/>
              <w:left w:val="nil"/>
              <w:bottom w:val="nil"/>
              <w:right w:val="nil"/>
            </w:tcBorders>
            <w:shd w:val="clear" w:color="auto" w:fill="auto"/>
            <w:noWrap/>
            <w:vAlign w:val="bottom"/>
            <w:hideMark/>
          </w:tcPr>
          <w:p w14:paraId="26A0AC07" w14:textId="77777777" w:rsidR="0002316A" w:rsidRPr="00C66BD5" w:rsidRDefault="0002316A" w:rsidP="005F3681">
            <w:pPr>
              <w:rPr>
                <w:rFonts w:ascii="Arial" w:eastAsia="Times New Roman" w:hAnsi="Arial" w:cs="Arial"/>
                <w:color w:val="000000"/>
                <w:sz w:val="22"/>
                <w:szCs w:val="22"/>
                <w:lang w:val="en-GB"/>
              </w:rPr>
            </w:pPr>
          </w:p>
        </w:tc>
        <w:tc>
          <w:tcPr>
            <w:tcW w:w="1256" w:type="dxa"/>
            <w:gridSpan w:val="2"/>
            <w:tcBorders>
              <w:top w:val="nil"/>
              <w:left w:val="nil"/>
              <w:bottom w:val="nil"/>
              <w:right w:val="nil"/>
            </w:tcBorders>
            <w:shd w:val="clear" w:color="auto" w:fill="auto"/>
            <w:noWrap/>
            <w:vAlign w:val="bottom"/>
            <w:hideMark/>
          </w:tcPr>
          <w:p w14:paraId="7CF449A7"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19</w:t>
            </w:r>
          </w:p>
        </w:tc>
        <w:tc>
          <w:tcPr>
            <w:tcW w:w="3376" w:type="dxa"/>
            <w:gridSpan w:val="2"/>
            <w:tcBorders>
              <w:top w:val="nil"/>
              <w:left w:val="nil"/>
              <w:bottom w:val="nil"/>
              <w:right w:val="nil"/>
            </w:tcBorders>
            <w:shd w:val="clear" w:color="auto" w:fill="auto"/>
            <w:noWrap/>
            <w:vAlign w:val="bottom"/>
            <w:hideMark/>
          </w:tcPr>
          <w:p w14:paraId="42BA85F3"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bankssts</w:t>
            </w:r>
          </w:p>
        </w:tc>
        <w:tc>
          <w:tcPr>
            <w:tcW w:w="815" w:type="dxa"/>
            <w:gridSpan w:val="2"/>
            <w:tcBorders>
              <w:top w:val="nil"/>
              <w:left w:val="nil"/>
              <w:bottom w:val="nil"/>
              <w:right w:val="nil"/>
            </w:tcBorders>
            <w:shd w:val="clear" w:color="auto" w:fill="auto"/>
            <w:noWrap/>
            <w:hideMark/>
          </w:tcPr>
          <w:p w14:paraId="08B1A5E7"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L</w:t>
            </w:r>
          </w:p>
        </w:tc>
        <w:tc>
          <w:tcPr>
            <w:tcW w:w="1377" w:type="dxa"/>
            <w:gridSpan w:val="2"/>
            <w:tcBorders>
              <w:top w:val="nil"/>
              <w:left w:val="nil"/>
              <w:bottom w:val="nil"/>
              <w:right w:val="nil"/>
            </w:tcBorders>
            <w:shd w:val="clear" w:color="auto" w:fill="auto"/>
            <w:noWrap/>
            <w:hideMark/>
          </w:tcPr>
          <w:p w14:paraId="2236549A" w14:textId="77777777" w:rsidR="0002316A" w:rsidRPr="00C66BD5" w:rsidRDefault="0002316A" w:rsidP="005F3681">
            <w:pPr>
              <w:jc w:val="center"/>
              <w:rPr>
                <w:rFonts w:ascii="Arial" w:eastAsia="Times New Roman" w:hAnsi="Arial" w:cs="Arial"/>
                <w:color w:val="000000"/>
                <w:sz w:val="22"/>
                <w:szCs w:val="22"/>
                <w:lang w:val="en-GB"/>
              </w:rPr>
            </w:pPr>
            <w:r>
              <w:rPr>
                <w:rFonts w:ascii="Arial" w:eastAsia="Times New Roman" w:hAnsi="Arial" w:cs="Arial"/>
                <w:color w:val="000000"/>
                <w:sz w:val="22"/>
                <w:szCs w:val="22"/>
                <w:lang w:val="en-GB"/>
              </w:rPr>
              <w:t>22</w:t>
            </w:r>
          </w:p>
        </w:tc>
        <w:tc>
          <w:tcPr>
            <w:tcW w:w="1956" w:type="dxa"/>
            <w:gridSpan w:val="4"/>
            <w:tcBorders>
              <w:top w:val="nil"/>
              <w:left w:val="nil"/>
              <w:bottom w:val="nil"/>
              <w:right w:val="nil"/>
            </w:tcBorders>
            <w:shd w:val="clear" w:color="auto" w:fill="auto"/>
            <w:noWrap/>
            <w:vAlign w:val="bottom"/>
            <w:hideMark/>
          </w:tcPr>
          <w:p w14:paraId="19586EF1"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302</w:t>
            </w:r>
          </w:p>
        </w:tc>
        <w:tc>
          <w:tcPr>
            <w:tcW w:w="915" w:type="dxa"/>
            <w:gridSpan w:val="2"/>
            <w:tcBorders>
              <w:top w:val="nil"/>
              <w:left w:val="nil"/>
              <w:bottom w:val="nil"/>
              <w:right w:val="nil"/>
            </w:tcBorders>
            <w:shd w:val="clear" w:color="auto" w:fill="auto"/>
            <w:noWrap/>
            <w:vAlign w:val="bottom"/>
            <w:hideMark/>
          </w:tcPr>
          <w:p w14:paraId="70A4C29A"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-46.7</w:t>
            </w:r>
          </w:p>
        </w:tc>
        <w:tc>
          <w:tcPr>
            <w:tcW w:w="915" w:type="dxa"/>
            <w:gridSpan w:val="2"/>
            <w:tcBorders>
              <w:top w:val="nil"/>
              <w:left w:val="nil"/>
              <w:bottom w:val="nil"/>
              <w:right w:val="nil"/>
            </w:tcBorders>
            <w:shd w:val="clear" w:color="auto" w:fill="auto"/>
            <w:noWrap/>
            <w:vAlign w:val="bottom"/>
            <w:hideMark/>
          </w:tcPr>
          <w:p w14:paraId="7BCA90D7"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-46.4</w:t>
            </w:r>
          </w:p>
        </w:tc>
        <w:tc>
          <w:tcPr>
            <w:tcW w:w="915" w:type="dxa"/>
            <w:gridSpan w:val="2"/>
            <w:tcBorders>
              <w:top w:val="nil"/>
              <w:left w:val="nil"/>
              <w:bottom w:val="nil"/>
              <w:right w:val="nil"/>
            </w:tcBorders>
            <w:shd w:val="clear" w:color="auto" w:fill="auto"/>
            <w:noWrap/>
            <w:vAlign w:val="bottom"/>
            <w:hideMark/>
          </w:tcPr>
          <w:p w14:paraId="252394E6"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8.5</w:t>
            </w:r>
          </w:p>
        </w:tc>
        <w:tc>
          <w:tcPr>
            <w:tcW w:w="1126" w:type="dxa"/>
            <w:tcBorders>
              <w:top w:val="nil"/>
              <w:left w:val="nil"/>
              <w:bottom w:val="nil"/>
              <w:right w:val="nil"/>
            </w:tcBorders>
            <w:shd w:val="clear" w:color="auto" w:fill="auto"/>
            <w:noWrap/>
            <w:vAlign w:val="bottom"/>
            <w:hideMark/>
          </w:tcPr>
          <w:p w14:paraId="6113FAB8"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2.586</w:t>
            </w:r>
          </w:p>
        </w:tc>
      </w:tr>
      <w:tr w:rsidR="0002316A" w:rsidRPr="00C66BD5" w14:paraId="6E4E3ECF" w14:textId="77777777" w:rsidTr="005F3681">
        <w:trPr>
          <w:trHeight w:val="300"/>
        </w:trPr>
        <w:tc>
          <w:tcPr>
            <w:tcW w:w="1829" w:type="dxa"/>
            <w:gridSpan w:val="2"/>
            <w:tcBorders>
              <w:top w:val="nil"/>
              <w:left w:val="nil"/>
              <w:bottom w:val="nil"/>
              <w:right w:val="nil"/>
            </w:tcBorders>
            <w:shd w:val="clear" w:color="auto" w:fill="auto"/>
            <w:noWrap/>
            <w:vAlign w:val="bottom"/>
            <w:hideMark/>
          </w:tcPr>
          <w:p w14:paraId="77D4A918" w14:textId="77777777" w:rsidR="0002316A" w:rsidRPr="00C66BD5" w:rsidRDefault="0002316A" w:rsidP="005F3681">
            <w:pPr>
              <w:rPr>
                <w:rFonts w:ascii="Arial" w:eastAsia="Times New Roman" w:hAnsi="Arial" w:cs="Arial"/>
                <w:color w:val="000000"/>
                <w:sz w:val="22"/>
                <w:szCs w:val="22"/>
                <w:lang w:val="en-GB"/>
              </w:rPr>
            </w:pPr>
          </w:p>
        </w:tc>
        <w:tc>
          <w:tcPr>
            <w:tcW w:w="1256" w:type="dxa"/>
            <w:gridSpan w:val="2"/>
            <w:tcBorders>
              <w:top w:val="nil"/>
              <w:left w:val="nil"/>
              <w:bottom w:val="nil"/>
              <w:right w:val="nil"/>
            </w:tcBorders>
            <w:shd w:val="clear" w:color="auto" w:fill="auto"/>
            <w:noWrap/>
            <w:vAlign w:val="bottom"/>
            <w:hideMark/>
          </w:tcPr>
          <w:p w14:paraId="34680664"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20</w:t>
            </w:r>
          </w:p>
        </w:tc>
        <w:tc>
          <w:tcPr>
            <w:tcW w:w="3376" w:type="dxa"/>
            <w:gridSpan w:val="2"/>
            <w:tcBorders>
              <w:top w:val="nil"/>
              <w:left w:val="nil"/>
              <w:bottom w:val="nil"/>
              <w:right w:val="nil"/>
            </w:tcBorders>
            <w:shd w:val="clear" w:color="auto" w:fill="auto"/>
            <w:noWrap/>
            <w:vAlign w:val="bottom"/>
            <w:hideMark/>
          </w:tcPr>
          <w:p w14:paraId="15C9E9CC"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precentral</w:t>
            </w:r>
          </w:p>
        </w:tc>
        <w:tc>
          <w:tcPr>
            <w:tcW w:w="815" w:type="dxa"/>
            <w:gridSpan w:val="2"/>
            <w:tcBorders>
              <w:top w:val="nil"/>
              <w:left w:val="nil"/>
              <w:bottom w:val="nil"/>
              <w:right w:val="nil"/>
            </w:tcBorders>
            <w:shd w:val="clear" w:color="auto" w:fill="auto"/>
            <w:noWrap/>
            <w:hideMark/>
          </w:tcPr>
          <w:p w14:paraId="7E1AE4D0"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L</w:t>
            </w:r>
          </w:p>
        </w:tc>
        <w:tc>
          <w:tcPr>
            <w:tcW w:w="1377" w:type="dxa"/>
            <w:gridSpan w:val="2"/>
            <w:tcBorders>
              <w:top w:val="nil"/>
              <w:left w:val="nil"/>
              <w:bottom w:val="nil"/>
              <w:right w:val="nil"/>
            </w:tcBorders>
            <w:shd w:val="clear" w:color="auto" w:fill="auto"/>
            <w:noWrap/>
            <w:hideMark/>
          </w:tcPr>
          <w:p w14:paraId="68C8F81F" w14:textId="77777777" w:rsidR="0002316A" w:rsidRPr="00C66BD5" w:rsidRDefault="0002316A" w:rsidP="005F3681">
            <w:pPr>
              <w:jc w:val="center"/>
              <w:rPr>
                <w:rFonts w:ascii="Arial" w:eastAsia="Times New Roman" w:hAnsi="Arial" w:cs="Arial"/>
                <w:color w:val="000000"/>
                <w:sz w:val="22"/>
                <w:szCs w:val="22"/>
                <w:lang w:val="en-GB"/>
              </w:rPr>
            </w:pPr>
            <w:r>
              <w:rPr>
                <w:rFonts w:ascii="Arial" w:eastAsia="Times New Roman" w:hAnsi="Arial" w:cs="Arial"/>
                <w:color w:val="000000"/>
                <w:sz w:val="22"/>
                <w:szCs w:val="22"/>
                <w:lang w:val="en-GB"/>
              </w:rPr>
              <w:t>4</w:t>
            </w:r>
          </w:p>
        </w:tc>
        <w:tc>
          <w:tcPr>
            <w:tcW w:w="1956" w:type="dxa"/>
            <w:gridSpan w:val="4"/>
            <w:tcBorders>
              <w:top w:val="nil"/>
              <w:left w:val="nil"/>
              <w:bottom w:val="nil"/>
              <w:right w:val="nil"/>
            </w:tcBorders>
            <w:shd w:val="clear" w:color="auto" w:fill="auto"/>
            <w:noWrap/>
            <w:vAlign w:val="bottom"/>
            <w:hideMark/>
          </w:tcPr>
          <w:p w14:paraId="00E3A125"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216</w:t>
            </w:r>
          </w:p>
        </w:tc>
        <w:tc>
          <w:tcPr>
            <w:tcW w:w="915" w:type="dxa"/>
            <w:gridSpan w:val="2"/>
            <w:tcBorders>
              <w:top w:val="nil"/>
              <w:left w:val="nil"/>
              <w:bottom w:val="nil"/>
              <w:right w:val="nil"/>
            </w:tcBorders>
            <w:shd w:val="clear" w:color="auto" w:fill="auto"/>
            <w:noWrap/>
            <w:vAlign w:val="bottom"/>
            <w:hideMark/>
          </w:tcPr>
          <w:p w14:paraId="37A9C0CA"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-44.7</w:t>
            </w:r>
          </w:p>
        </w:tc>
        <w:tc>
          <w:tcPr>
            <w:tcW w:w="915" w:type="dxa"/>
            <w:gridSpan w:val="2"/>
            <w:tcBorders>
              <w:top w:val="nil"/>
              <w:left w:val="nil"/>
              <w:bottom w:val="nil"/>
              <w:right w:val="nil"/>
            </w:tcBorders>
            <w:shd w:val="clear" w:color="auto" w:fill="auto"/>
            <w:noWrap/>
            <w:vAlign w:val="bottom"/>
            <w:hideMark/>
          </w:tcPr>
          <w:p w14:paraId="0655CFA4"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-9.5</w:t>
            </w:r>
          </w:p>
        </w:tc>
        <w:tc>
          <w:tcPr>
            <w:tcW w:w="915" w:type="dxa"/>
            <w:gridSpan w:val="2"/>
            <w:tcBorders>
              <w:top w:val="nil"/>
              <w:left w:val="nil"/>
              <w:bottom w:val="nil"/>
              <w:right w:val="nil"/>
            </w:tcBorders>
            <w:shd w:val="clear" w:color="auto" w:fill="auto"/>
            <w:noWrap/>
            <w:vAlign w:val="bottom"/>
            <w:hideMark/>
          </w:tcPr>
          <w:p w14:paraId="250B85BF"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41.8</w:t>
            </w:r>
          </w:p>
        </w:tc>
        <w:tc>
          <w:tcPr>
            <w:tcW w:w="1126" w:type="dxa"/>
            <w:tcBorders>
              <w:top w:val="nil"/>
              <w:left w:val="nil"/>
              <w:bottom w:val="nil"/>
              <w:right w:val="nil"/>
            </w:tcBorders>
            <w:shd w:val="clear" w:color="auto" w:fill="auto"/>
            <w:noWrap/>
            <w:vAlign w:val="bottom"/>
            <w:hideMark/>
          </w:tcPr>
          <w:p w14:paraId="4616A895"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2.366</w:t>
            </w:r>
          </w:p>
        </w:tc>
      </w:tr>
      <w:tr w:rsidR="0002316A" w:rsidRPr="00C66BD5" w14:paraId="069C5B01" w14:textId="77777777" w:rsidTr="005F3681">
        <w:trPr>
          <w:trHeight w:val="300"/>
        </w:trPr>
        <w:tc>
          <w:tcPr>
            <w:tcW w:w="1829" w:type="dxa"/>
            <w:gridSpan w:val="2"/>
            <w:tcBorders>
              <w:top w:val="nil"/>
              <w:left w:val="nil"/>
              <w:bottom w:val="nil"/>
              <w:right w:val="nil"/>
            </w:tcBorders>
            <w:shd w:val="clear" w:color="auto" w:fill="auto"/>
            <w:noWrap/>
            <w:vAlign w:val="bottom"/>
            <w:hideMark/>
          </w:tcPr>
          <w:p w14:paraId="4ACC6D81" w14:textId="77777777" w:rsidR="0002316A" w:rsidRPr="00C66BD5" w:rsidRDefault="0002316A" w:rsidP="005F3681">
            <w:pPr>
              <w:rPr>
                <w:rFonts w:ascii="Arial" w:eastAsia="Times New Roman" w:hAnsi="Arial" w:cs="Arial"/>
                <w:color w:val="000000"/>
                <w:sz w:val="22"/>
                <w:szCs w:val="22"/>
                <w:lang w:val="en-GB"/>
              </w:rPr>
            </w:pPr>
          </w:p>
        </w:tc>
        <w:tc>
          <w:tcPr>
            <w:tcW w:w="1256" w:type="dxa"/>
            <w:gridSpan w:val="2"/>
            <w:tcBorders>
              <w:top w:val="nil"/>
              <w:left w:val="nil"/>
              <w:bottom w:val="nil"/>
              <w:right w:val="nil"/>
            </w:tcBorders>
            <w:shd w:val="clear" w:color="auto" w:fill="auto"/>
            <w:noWrap/>
            <w:vAlign w:val="bottom"/>
            <w:hideMark/>
          </w:tcPr>
          <w:p w14:paraId="1F91D3B1"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21</w:t>
            </w:r>
          </w:p>
        </w:tc>
        <w:tc>
          <w:tcPr>
            <w:tcW w:w="3376" w:type="dxa"/>
            <w:gridSpan w:val="2"/>
            <w:tcBorders>
              <w:top w:val="nil"/>
              <w:left w:val="nil"/>
              <w:bottom w:val="nil"/>
              <w:right w:val="nil"/>
            </w:tcBorders>
            <w:shd w:val="clear" w:color="auto" w:fill="auto"/>
            <w:noWrap/>
            <w:vAlign w:val="bottom"/>
            <w:hideMark/>
          </w:tcPr>
          <w:p w14:paraId="3873015F"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superiorparietal</w:t>
            </w:r>
          </w:p>
        </w:tc>
        <w:tc>
          <w:tcPr>
            <w:tcW w:w="815" w:type="dxa"/>
            <w:gridSpan w:val="2"/>
            <w:tcBorders>
              <w:top w:val="nil"/>
              <w:left w:val="nil"/>
              <w:bottom w:val="nil"/>
              <w:right w:val="nil"/>
            </w:tcBorders>
            <w:shd w:val="clear" w:color="auto" w:fill="auto"/>
            <w:noWrap/>
            <w:hideMark/>
          </w:tcPr>
          <w:p w14:paraId="2F086BB6"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L</w:t>
            </w:r>
          </w:p>
        </w:tc>
        <w:tc>
          <w:tcPr>
            <w:tcW w:w="1377" w:type="dxa"/>
            <w:gridSpan w:val="2"/>
            <w:tcBorders>
              <w:top w:val="nil"/>
              <w:left w:val="nil"/>
              <w:bottom w:val="nil"/>
              <w:right w:val="nil"/>
            </w:tcBorders>
            <w:shd w:val="clear" w:color="auto" w:fill="auto"/>
            <w:noWrap/>
            <w:hideMark/>
          </w:tcPr>
          <w:p w14:paraId="7118E28E" w14:textId="77777777" w:rsidR="0002316A" w:rsidRPr="00C66BD5" w:rsidRDefault="0002316A" w:rsidP="005F3681">
            <w:pPr>
              <w:jc w:val="center"/>
              <w:rPr>
                <w:rFonts w:ascii="Arial" w:eastAsia="Times New Roman" w:hAnsi="Arial" w:cs="Arial"/>
                <w:color w:val="000000"/>
                <w:sz w:val="22"/>
                <w:szCs w:val="22"/>
                <w:lang w:val="en-GB"/>
              </w:rPr>
            </w:pPr>
            <w:r>
              <w:rPr>
                <w:rFonts w:ascii="Arial" w:eastAsia="Times New Roman" w:hAnsi="Arial" w:cs="Arial"/>
                <w:color w:val="000000"/>
                <w:sz w:val="22"/>
                <w:szCs w:val="22"/>
                <w:lang w:val="en-GB"/>
              </w:rPr>
              <w:t>19</w:t>
            </w:r>
          </w:p>
        </w:tc>
        <w:tc>
          <w:tcPr>
            <w:tcW w:w="1956" w:type="dxa"/>
            <w:gridSpan w:val="4"/>
            <w:tcBorders>
              <w:top w:val="nil"/>
              <w:left w:val="nil"/>
              <w:bottom w:val="nil"/>
              <w:right w:val="nil"/>
            </w:tcBorders>
            <w:shd w:val="clear" w:color="auto" w:fill="auto"/>
            <w:noWrap/>
            <w:vAlign w:val="bottom"/>
            <w:hideMark/>
          </w:tcPr>
          <w:p w14:paraId="62B85FB0"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149</w:t>
            </w:r>
          </w:p>
        </w:tc>
        <w:tc>
          <w:tcPr>
            <w:tcW w:w="915" w:type="dxa"/>
            <w:gridSpan w:val="2"/>
            <w:tcBorders>
              <w:top w:val="nil"/>
              <w:left w:val="nil"/>
              <w:bottom w:val="nil"/>
              <w:right w:val="nil"/>
            </w:tcBorders>
            <w:shd w:val="clear" w:color="auto" w:fill="auto"/>
            <w:noWrap/>
            <w:vAlign w:val="bottom"/>
            <w:hideMark/>
          </w:tcPr>
          <w:p w14:paraId="563BD7C0"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-20.4</w:t>
            </w:r>
          </w:p>
        </w:tc>
        <w:tc>
          <w:tcPr>
            <w:tcW w:w="915" w:type="dxa"/>
            <w:gridSpan w:val="2"/>
            <w:tcBorders>
              <w:top w:val="nil"/>
              <w:left w:val="nil"/>
              <w:bottom w:val="nil"/>
              <w:right w:val="nil"/>
            </w:tcBorders>
            <w:shd w:val="clear" w:color="auto" w:fill="auto"/>
            <w:noWrap/>
            <w:vAlign w:val="bottom"/>
            <w:hideMark/>
          </w:tcPr>
          <w:p w14:paraId="50D0C168"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-77</w:t>
            </w:r>
          </w:p>
        </w:tc>
        <w:tc>
          <w:tcPr>
            <w:tcW w:w="915" w:type="dxa"/>
            <w:gridSpan w:val="2"/>
            <w:tcBorders>
              <w:top w:val="nil"/>
              <w:left w:val="nil"/>
              <w:bottom w:val="nil"/>
              <w:right w:val="nil"/>
            </w:tcBorders>
            <w:shd w:val="clear" w:color="auto" w:fill="auto"/>
            <w:noWrap/>
            <w:vAlign w:val="bottom"/>
            <w:hideMark/>
          </w:tcPr>
          <w:p w14:paraId="739898C1"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39.9</w:t>
            </w:r>
          </w:p>
        </w:tc>
        <w:tc>
          <w:tcPr>
            <w:tcW w:w="1126" w:type="dxa"/>
            <w:tcBorders>
              <w:top w:val="nil"/>
              <w:left w:val="nil"/>
              <w:bottom w:val="nil"/>
              <w:right w:val="nil"/>
            </w:tcBorders>
            <w:shd w:val="clear" w:color="auto" w:fill="auto"/>
            <w:noWrap/>
            <w:vAlign w:val="bottom"/>
            <w:hideMark/>
          </w:tcPr>
          <w:p w14:paraId="40292C7C"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-2.432</w:t>
            </w:r>
          </w:p>
        </w:tc>
      </w:tr>
      <w:tr w:rsidR="0002316A" w:rsidRPr="00C66BD5" w14:paraId="25B097E6" w14:textId="77777777" w:rsidTr="005F3681">
        <w:trPr>
          <w:trHeight w:val="315"/>
        </w:trPr>
        <w:tc>
          <w:tcPr>
            <w:tcW w:w="1829" w:type="dxa"/>
            <w:gridSpan w:val="2"/>
            <w:tcBorders>
              <w:top w:val="nil"/>
              <w:left w:val="nil"/>
              <w:bottom w:val="nil"/>
              <w:right w:val="nil"/>
            </w:tcBorders>
            <w:shd w:val="clear" w:color="auto" w:fill="auto"/>
            <w:noWrap/>
            <w:vAlign w:val="bottom"/>
            <w:hideMark/>
          </w:tcPr>
          <w:p w14:paraId="375BF38E" w14:textId="77777777" w:rsidR="0002316A" w:rsidRPr="00C66BD5" w:rsidRDefault="0002316A" w:rsidP="005F3681">
            <w:pPr>
              <w:rPr>
                <w:rFonts w:ascii="Arial" w:eastAsia="Times New Roman" w:hAnsi="Arial" w:cs="Arial"/>
                <w:color w:val="000000"/>
                <w:sz w:val="22"/>
                <w:szCs w:val="22"/>
                <w:lang w:val="en-GB"/>
              </w:rPr>
            </w:pPr>
          </w:p>
        </w:tc>
        <w:tc>
          <w:tcPr>
            <w:tcW w:w="1256" w:type="dxa"/>
            <w:gridSpan w:val="2"/>
            <w:tcBorders>
              <w:top w:val="nil"/>
              <w:left w:val="nil"/>
              <w:bottom w:val="nil"/>
              <w:right w:val="nil"/>
            </w:tcBorders>
            <w:shd w:val="clear" w:color="auto" w:fill="auto"/>
            <w:noWrap/>
            <w:vAlign w:val="bottom"/>
            <w:hideMark/>
          </w:tcPr>
          <w:p w14:paraId="5D9B5F48"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22</w:t>
            </w:r>
          </w:p>
        </w:tc>
        <w:tc>
          <w:tcPr>
            <w:tcW w:w="3376" w:type="dxa"/>
            <w:gridSpan w:val="2"/>
            <w:tcBorders>
              <w:top w:val="nil"/>
              <w:left w:val="nil"/>
              <w:bottom w:val="nil"/>
              <w:right w:val="nil"/>
            </w:tcBorders>
            <w:shd w:val="clear" w:color="auto" w:fill="auto"/>
            <w:noWrap/>
            <w:vAlign w:val="bottom"/>
            <w:hideMark/>
          </w:tcPr>
          <w:p w14:paraId="2CA33F0C"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middletemporal</w:t>
            </w:r>
          </w:p>
        </w:tc>
        <w:tc>
          <w:tcPr>
            <w:tcW w:w="815" w:type="dxa"/>
            <w:gridSpan w:val="2"/>
            <w:tcBorders>
              <w:top w:val="nil"/>
              <w:left w:val="nil"/>
              <w:bottom w:val="nil"/>
              <w:right w:val="nil"/>
            </w:tcBorders>
            <w:shd w:val="clear" w:color="auto" w:fill="auto"/>
            <w:noWrap/>
            <w:hideMark/>
          </w:tcPr>
          <w:p w14:paraId="0DB68CCC"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L</w:t>
            </w:r>
          </w:p>
        </w:tc>
        <w:tc>
          <w:tcPr>
            <w:tcW w:w="1377" w:type="dxa"/>
            <w:gridSpan w:val="2"/>
            <w:tcBorders>
              <w:top w:val="nil"/>
              <w:left w:val="nil"/>
              <w:bottom w:val="nil"/>
              <w:right w:val="nil"/>
            </w:tcBorders>
            <w:shd w:val="clear" w:color="auto" w:fill="auto"/>
            <w:noWrap/>
            <w:hideMark/>
          </w:tcPr>
          <w:p w14:paraId="2F4434FE" w14:textId="77777777" w:rsidR="0002316A" w:rsidRPr="00C66BD5" w:rsidRDefault="0002316A" w:rsidP="005F3681">
            <w:pPr>
              <w:jc w:val="center"/>
              <w:rPr>
                <w:rFonts w:ascii="Arial" w:eastAsia="Times New Roman" w:hAnsi="Arial" w:cs="Arial"/>
                <w:color w:val="000000"/>
                <w:sz w:val="22"/>
                <w:szCs w:val="22"/>
                <w:lang w:val="en-GB"/>
              </w:rPr>
            </w:pPr>
            <w:r>
              <w:rPr>
                <w:rFonts w:ascii="Arial" w:eastAsia="Times New Roman" w:hAnsi="Arial" w:cs="Arial"/>
                <w:color w:val="000000"/>
                <w:sz w:val="22"/>
                <w:szCs w:val="22"/>
                <w:lang w:val="en-GB"/>
              </w:rPr>
              <w:t>37</w:t>
            </w:r>
          </w:p>
        </w:tc>
        <w:tc>
          <w:tcPr>
            <w:tcW w:w="1956" w:type="dxa"/>
            <w:gridSpan w:val="4"/>
            <w:tcBorders>
              <w:top w:val="nil"/>
              <w:left w:val="nil"/>
              <w:bottom w:val="nil"/>
              <w:right w:val="nil"/>
            </w:tcBorders>
            <w:shd w:val="clear" w:color="auto" w:fill="auto"/>
            <w:noWrap/>
            <w:vAlign w:val="bottom"/>
            <w:hideMark/>
          </w:tcPr>
          <w:p w14:paraId="66B1C7AB"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117</w:t>
            </w:r>
          </w:p>
        </w:tc>
        <w:tc>
          <w:tcPr>
            <w:tcW w:w="915" w:type="dxa"/>
            <w:gridSpan w:val="2"/>
            <w:tcBorders>
              <w:top w:val="nil"/>
              <w:left w:val="nil"/>
              <w:bottom w:val="nil"/>
              <w:right w:val="nil"/>
            </w:tcBorders>
            <w:shd w:val="clear" w:color="auto" w:fill="auto"/>
            <w:noWrap/>
            <w:vAlign w:val="bottom"/>
            <w:hideMark/>
          </w:tcPr>
          <w:p w14:paraId="4D45CB54"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-53.2</w:t>
            </w:r>
          </w:p>
        </w:tc>
        <w:tc>
          <w:tcPr>
            <w:tcW w:w="915" w:type="dxa"/>
            <w:gridSpan w:val="2"/>
            <w:tcBorders>
              <w:top w:val="nil"/>
              <w:left w:val="nil"/>
              <w:bottom w:val="nil"/>
              <w:right w:val="nil"/>
            </w:tcBorders>
            <w:shd w:val="clear" w:color="auto" w:fill="auto"/>
            <w:noWrap/>
            <w:vAlign w:val="bottom"/>
            <w:hideMark/>
          </w:tcPr>
          <w:p w14:paraId="0996380D"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-58.3</w:t>
            </w:r>
          </w:p>
        </w:tc>
        <w:tc>
          <w:tcPr>
            <w:tcW w:w="915" w:type="dxa"/>
            <w:gridSpan w:val="2"/>
            <w:tcBorders>
              <w:top w:val="nil"/>
              <w:left w:val="nil"/>
              <w:bottom w:val="nil"/>
              <w:right w:val="nil"/>
            </w:tcBorders>
            <w:shd w:val="clear" w:color="auto" w:fill="auto"/>
            <w:noWrap/>
            <w:vAlign w:val="bottom"/>
            <w:hideMark/>
          </w:tcPr>
          <w:p w14:paraId="62F0F8BA"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2.8</w:t>
            </w:r>
          </w:p>
        </w:tc>
        <w:tc>
          <w:tcPr>
            <w:tcW w:w="1126" w:type="dxa"/>
            <w:tcBorders>
              <w:top w:val="nil"/>
              <w:left w:val="nil"/>
              <w:bottom w:val="nil"/>
              <w:right w:val="nil"/>
            </w:tcBorders>
            <w:shd w:val="clear" w:color="auto" w:fill="auto"/>
            <w:noWrap/>
            <w:vAlign w:val="bottom"/>
            <w:hideMark/>
          </w:tcPr>
          <w:p w14:paraId="5182E5A4"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2.415</w:t>
            </w:r>
          </w:p>
        </w:tc>
      </w:tr>
      <w:tr w:rsidR="0002316A" w:rsidRPr="00C66BD5" w14:paraId="40C2F69B" w14:textId="77777777" w:rsidTr="005F3681">
        <w:trPr>
          <w:trHeight w:val="300"/>
        </w:trPr>
        <w:tc>
          <w:tcPr>
            <w:tcW w:w="1829" w:type="dxa"/>
            <w:gridSpan w:val="2"/>
            <w:tcBorders>
              <w:top w:val="nil"/>
              <w:left w:val="nil"/>
              <w:bottom w:val="nil"/>
              <w:right w:val="nil"/>
            </w:tcBorders>
            <w:shd w:val="clear" w:color="auto" w:fill="auto"/>
            <w:noWrap/>
            <w:vAlign w:val="bottom"/>
            <w:hideMark/>
          </w:tcPr>
          <w:p w14:paraId="02C02BCC" w14:textId="77777777" w:rsidR="0002316A" w:rsidRPr="00C66BD5" w:rsidRDefault="0002316A" w:rsidP="005F3681">
            <w:pPr>
              <w:rPr>
                <w:rFonts w:ascii="Arial" w:eastAsia="Times New Roman" w:hAnsi="Arial" w:cs="Arial"/>
                <w:color w:val="000000"/>
                <w:sz w:val="22"/>
                <w:szCs w:val="22"/>
                <w:lang w:val="en-GB"/>
              </w:rPr>
            </w:pPr>
          </w:p>
        </w:tc>
        <w:tc>
          <w:tcPr>
            <w:tcW w:w="1256" w:type="dxa"/>
            <w:gridSpan w:val="2"/>
            <w:tcBorders>
              <w:top w:val="nil"/>
              <w:left w:val="nil"/>
              <w:bottom w:val="nil"/>
              <w:right w:val="nil"/>
            </w:tcBorders>
            <w:shd w:val="clear" w:color="auto" w:fill="auto"/>
            <w:noWrap/>
            <w:vAlign w:val="bottom"/>
            <w:hideMark/>
          </w:tcPr>
          <w:p w14:paraId="215CF166"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23</w:t>
            </w:r>
          </w:p>
        </w:tc>
        <w:tc>
          <w:tcPr>
            <w:tcW w:w="3376" w:type="dxa"/>
            <w:gridSpan w:val="2"/>
            <w:tcBorders>
              <w:top w:val="nil"/>
              <w:left w:val="nil"/>
              <w:bottom w:val="nil"/>
              <w:right w:val="nil"/>
            </w:tcBorders>
            <w:shd w:val="clear" w:color="auto" w:fill="auto"/>
            <w:noWrap/>
            <w:vAlign w:val="bottom"/>
            <w:hideMark/>
          </w:tcPr>
          <w:p w14:paraId="05A5AA0E"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middletemporal</w:t>
            </w:r>
          </w:p>
        </w:tc>
        <w:tc>
          <w:tcPr>
            <w:tcW w:w="815" w:type="dxa"/>
            <w:gridSpan w:val="2"/>
            <w:tcBorders>
              <w:top w:val="nil"/>
              <w:left w:val="nil"/>
              <w:bottom w:val="nil"/>
              <w:right w:val="nil"/>
            </w:tcBorders>
            <w:shd w:val="clear" w:color="auto" w:fill="auto"/>
            <w:noWrap/>
            <w:hideMark/>
          </w:tcPr>
          <w:p w14:paraId="3F7996F4"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L</w:t>
            </w:r>
          </w:p>
        </w:tc>
        <w:tc>
          <w:tcPr>
            <w:tcW w:w="1377" w:type="dxa"/>
            <w:gridSpan w:val="2"/>
            <w:tcBorders>
              <w:top w:val="nil"/>
              <w:left w:val="nil"/>
              <w:bottom w:val="nil"/>
              <w:right w:val="nil"/>
            </w:tcBorders>
            <w:shd w:val="clear" w:color="auto" w:fill="auto"/>
            <w:noWrap/>
            <w:hideMark/>
          </w:tcPr>
          <w:p w14:paraId="36A0ED80" w14:textId="77777777" w:rsidR="0002316A" w:rsidRPr="00C66BD5" w:rsidRDefault="0002316A" w:rsidP="005F3681">
            <w:pPr>
              <w:jc w:val="center"/>
              <w:rPr>
                <w:rFonts w:ascii="Arial" w:eastAsia="Times New Roman" w:hAnsi="Arial" w:cs="Arial"/>
                <w:color w:val="000000"/>
                <w:sz w:val="22"/>
                <w:szCs w:val="22"/>
                <w:lang w:val="en-GB"/>
              </w:rPr>
            </w:pPr>
            <w:r>
              <w:rPr>
                <w:rFonts w:ascii="Arial" w:eastAsia="Times New Roman" w:hAnsi="Arial" w:cs="Arial"/>
                <w:color w:val="000000"/>
                <w:sz w:val="22"/>
                <w:szCs w:val="22"/>
                <w:lang w:val="en-GB"/>
              </w:rPr>
              <w:t>22</w:t>
            </w:r>
          </w:p>
        </w:tc>
        <w:tc>
          <w:tcPr>
            <w:tcW w:w="1956" w:type="dxa"/>
            <w:gridSpan w:val="4"/>
            <w:tcBorders>
              <w:top w:val="nil"/>
              <w:left w:val="nil"/>
              <w:bottom w:val="nil"/>
              <w:right w:val="nil"/>
            </w:tcBorders>
            <w:shd w:val="clear" w:color="auto" w:fill="auto"/>
            <w:noWrap/>
            <w:vAlign w:val="bottom"/>
            <w:hideMark/>
          </w:tcPr>
          <w:p w14:paraId="56C41FB1" w14:textId="77777777" w:rsidR="0002316A" w:rsidRPr="00C66BD5" w:rsidRDefault="0002316A" w:rsidP="005F3681">
            <w:pPr>
              <w:jc w:val="cente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190</w:t>
            </w:r>
          </w:p>
        </w:tc>
        <w:tc>
          <w:tcPr>
            <w:tcW w:w="915" w:type="dxa"/>
            <w:gridSpan w:val="2"/>
            <w:tcBorders>
              <w:top w:val="nil"/>
              <w:left w:val="nil"/>
              <w:bottom w:val="nil"/>
              <w:right w:val="nil"/>
            </w:tcBorders>
            <w:shd w:val="clear" w:color="auto" w:fill="auto"/>
            <w:noWrap/>
            <w:vAlign w:val="bottom"/>
            <w:hideMark/>
          </w:tcPr>
          <w:p w14:paraId="3D009B1F"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-48.7</w:t>
            </w:r>
          </w:p>
        </w:tc>
        <w:tc>
          <w:tcPr>
            <w:tcW w:w="915" w:type="dxa"/>
            <w:gridSpan w:val="2"/>
            <w:tcBorders>
              <w:top w:val="nil"/>
              <w:left w:val="nil"/>
              <w:bottom w:val="nil"/>
              <w:right w:val="nil"/>
            </w:tcBorders>
            <w:shd w:val="clear" w:color="auto" w:fill="auto"/>
            <w:noWrap/>
            <w:vAlign w:val="bottom"/>
            <w:hideMark/>
          </w:tcPr>
          <w:p w14:paraId="5B4BDB96"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-37.7</w:t>
            </w:r>
          </w:p>
        </w:tc>
        <w:tc>
          <w:tcPr>
            <w:tcW w:w="915" w:type="dxa"/>
            <w:gridSpan w:val="2"/>
            <w:tcBorders>
              <w:top w:val="nil"/>
              <w:left w:val="nil"/>
              <w:bottom w:val="nil"/>
              <w:right w:val="nil"/>
            </w:tcBorders>
            <w:shd w:val="clear" w:color="auto" w:fill="auto"/>
            <w:noWrap/>
            <w:vAlign w:val="bottom"/>
            <w:hideMark/>
          </w:tcPr>
          <w:p w14:paraId="0833F5D8"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-3.2</w:t>
            </w:r>
          </w:p>
        </w:tc>
        <w:tc>
          <w:tcPr>
            <w:tcW w:w="1126" w:type="dxa"/>
            <w:tcBorders>
              <w:top w:val="nil"/>
              <w:left w:val="nil"/>
              <w:bottom w:val="nil"/>
              <w:right w:val="nil"/>
            </w:tcBorders>
            <w:shd w:val="clear" w:color="auto" w:fill="auto"/>
            <w:noWrap/>
            <w:vAlign w:val="bottom"/>
            <w:hideMark/>
          </w:tcPr>
          <w:p w14:paraId="4C6B059B" w14:textId="77777777" w:rsidR="0002316A" w:rsidRPr="00C66BD5" w:rsidRDefault="0002316A" w:rsidP="005F3681">
            <w:pPr>
              <w:jc w:val="right"/>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2.186</w:t>
            </w:r>
          </w:p>
        </w:tc>
      </w:tr>
      <w:tr w:rsidR="0002316A" w:rsidRPr="00C66BD5" w14:paraId="226AA6C5" w14:textId="77777777" w:rsidTr="005F3681">
        <w:trPr>
          <w:trHeight w:val="300"/>
        </w:trPr>
        <w:tc>
          <w:tcPr>
            <w:tcW w:w="1829" w:type="dxa"/>
            <w:gridSpan w:val="2"/>
            <w:tcBorders>
              <w:top w:val="nil"/>
              <w:left w:val="nil"/>
              <w:bottom w:val="single" w:sz="4" w:space="0" w:color="auto"/>
              <w:right w:val="nil"/>
            </w:tcBorders>
            <w:shd w:val="clear" w:color="auto" w:fill="auto"/>
            <w:noWrap/>
            <w:vAlign w:val="bottom"/>
            <w:hideMark/>
          </w:tcPr>
          <w:p w14:paraId="127B7659"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 </w:t>
            </w:r>
          </w:p>
        </w:tc>
        <w:tc>
          <w:tcPr>
            <w:tcW w:w="1256" w:type="dxa"/>
            <w:gridSpan w:val="2"/>
            <w:tcBorders>
              <w:top w:val="nil"/>
              <w:left w:val="nil"/>
              <w:bottom w:val="single" w:sz="4" w:space="0" w:color="auto"/>
              <w:right w:val="nil"/>
            </w:tcBorders>
            <w:shd w:val="clear" w:color="auto" w:fill="auto"/>
            <w:noWrap/>
            <w:vAlign w:val="bottom"/>
            <w:hideMark/>
          </w:tcPr>
          <w:p w14:paraId="2577E63C"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 </w:t>
            </w:r>
          </w:p>
        </w:tc>
        <w:tc>
          <w:tcPr>
            <w:tcW w:w="3376" w:type="dxa"/>
            <w:gridSpan w:val="2"/>
            <w:tcBorders>
              <w:top w:val="nil"/>
              <w:left w:val="nil"/>
              <w:bottom w:val="single" w:sz="4" w:space="0" w:color="auto"/>
              <w:right w:val="nil"/>
            </w:tcBorders>
            <w:shd w:val="clear" w:color="auto" w:fill="auto"/>
            <w:noWrap/>
            <w:vAlign w:val="bottom"/>
            <w:hideMark/>
          </w:tcPr>
          <w:p w14:paraId="03C86497"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 </w:t>
            </w:r>
          </w:p>
        </w:tc>
        <w:tc>
          <w:tcPr>
            <w:tcW w:w="815" w:type="dxa"/>
            <w:gridSpan w:val="2"/>
            <w:tcBorders>
              <w:top w:val="nil"/>
              <w:left w:val="nil"/>
              <w:bottom w:val="single" w:sz="4" w:space="0" w:color="auto"/>
              <w:right w:val="nil"/>
            </w:tcBorders>
            <w:shd w:val="clear" w:color="auto" w:fill="auto"/>
            <w:noWrap/>
            <w:vAlign w:val="bottom"/>
            <w:hideMark/>
          </w:tcPr>
          <w:p w14:paraId="39C7B1B3"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 </w:t>
            </w:r>
          </w:p>
        </w:tc>
        <w:tc>
          <w:tcPr>
            <w:tcW w:w="1377" w:type="dxa"/>
            <w:gridSpan w:val="2"/>
            <w:tcBorders>
              <w:top w:val="nil"/>
              <w:left w:val="nil"/>
              <w:bottom w:val="single" w:sz="4" w:space="0" w:color="auto"/>
              <w:right w:val="nil"/>
            </w:tcBorders>
            <w:shd w:val="clear" w:color="auto" w:fill="auto"/>
            <w:noWrap/>
            <w:vAlign w:val="bottom"/>
            <w:hideMark/>
          </w:tcPr>
          <w:p w14:paraId="3CF8E663"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 </w:t>
            </w:r>
          </w:p>
        </w:tc>
        <w:tc>
          <w:tcPr>
            <w:tcW w:w="1956" w:type="dxa"/>
            <w:gridSpan w:val="4"/>
            <w:tcBorders>
              <w:top w:val="nil"/>
              <w:left w:val="nil"/>
              <w:bottom w:val="single" w:sz="4" w:space="0" w:color="auto"/>
              <w:right w:val="nil"/>
            </w:tcBorders>
            <w:shd w:val="clear" w:color="auto" w:fill="auto"/>
            <w:noWrap/>
            <w:vAlign w:val="bottom"/>
            <w:hideMark/>
          </w:tcPr>
          <w:p w14:paraId="33AB2CF2" w14:textId="77777777" w:rsidR="0002316A" w:rsidRPr="00C66BD5" w:rsidRDefault="0002316A" w:rsidP="005F3681">
            <w:pPr>
              <w:jc w:val="center"/>
              <w:rPr>
                <w:rFonts w:ascii="Arial" w:eastAsia="Times New Roman" w:hAnsi="Arial" w:cs="Arial"/>
                <w:color w:val="000000"/>
                <w:sz w:val="22"/>
                <w:szCs w:val="22"/>
                <w:lang w:val="en-GB"/>
              </w:rPr>
            </w:pPr>
          </w:p>
        </w:tc>
        <w:tc>
          <w:tcPr>
            <w:tcW w:w="915" w:type="dxa"/>
            <w:gridSpan w:val="2"/>
            <w:tcBorders>
              <w:top w:val="nil"/>
              <w:left w:val="nil"/>
              <w:bottom w:val="single" w:sz="4" w:space="0" w:color="auto"/>
              <w:right w:val="nil"/>
            </w:tcBorders>
            <w:shd w:val="clear" w:color="auto" w:fill="auto"/>
            <w:noWrap/>
            <w:vAlign w:val="bottom"/>
            <w:hideMark/>
          </w:tcPr>
          <w:p w14:paraId="48E8169B"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 </w:t>
            </w:r>
          </w:p>
        </w:tc>
        <w:tc>
          <w:tcPr>
            <w:tcW w:w="915" w:type="dxa"/>
            <w:gridSpan w:val="2"/>
            <w:tcBorders>
              <w:top w:val="nil"/>
              <w:left w:val="nil"/>
              <w:bottom w:val="single" w:sz="4" w:space="0" w:color="auto"/>
              <w:right w:val="nil"/>
            </w:tcBorders>
            <w:shd w:val="clear" w:color="auto" w:fill="auto"/>
            <w:noWrap/>
            <w:vAlign w:val="bottom"/>
            <w:hideMark/>
          </w:tcPr>
          <w:p w14:paraId="0AB81838"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 </w:t>
            </w:r>
          </w:p>
        </w:tc>
        <w:tc>
          <w:tcPr>
            <w:tcW w:w="915" w:type="dxa"/>
            <w:gridSpan w:val="2"/>
            <w:tcBorders>
              <w:top w:val="nil"/>
              <w:left w:val="nil"/>
              <w:bottom w:val="single" w:sz="4" w:space="0" w:color="auto"/>
              <w:right w:val="nil"/>
            </w:tcBorders>
            <w:shd w:val="clear" w:color="auto" w:fill="auto"/>
            <w:noWrap/>
            <w:vAlign w:val="bottom"/>
            <w:hideMark/>
          </w:tcPr>
          <w:p w14:paraId="5385E300"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 </w:t>
            </w:r>
          </w:p>
        </w:tc>
        <w:tc>
          <w:tcPr>
            <w:tcW w:w="1126" w:type="dxa"/>
            <w:tcBorders>
              <w:top w:val="nil"/>
              <w:left w:val="nil"/>
              <w:bottom w:val="single" w:sz="4" w:space="0" w:color="auto"/>
              <w:right w:val="nil"/>
            </w:tcBorders>
            <w:shd w:val="clear" w:color="auto" w:fill="auto"/>
            <w:noWrap/>
            <w:vAlign w:val="bottom"/>
            <w:hideMark/>
          </w:tcPr>
          <w:p w14:paraId="52625BDA"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color w:val="000000"/>
                <w:sz w:val="22"/>
                <w:szCs w:val="22"/>
                <w:lang w:val="en-GB"/>
              </w:rPr>
              <w:t> </w:t>
            </w:r>
          </w:p>
        </w:tc>
      </w:tr>
      <w:tr w:rsidR="0002316A" w:rsidRPr="00C66BD5" w14:paraId="5B47D59B" w14:textId="77777777" w:rsidTr="005F3681">
        <w:trPr>
          <w:trHeight w:val="300"/>
        </w:trPr>
        <w:tc>
          <w:tcPr>
            <w:tcW w:w="14480" w:type="dxa"/>
            <w:gridSpan w:val="21"/>
            <w:vMerge w:val="restart"/>
            <w:tcBorders>
              <w:top w:val="single" w:sz="4" w:space="0" w:color="auto"/>
              <w:left w:val="nil"/>
              <w:bottom w:val="nil"/>
              <w:right w:val="nil"/>
            </w:tcBorders>
            <w:shd w:val="clear" w:color="auto" w:fill="auto"/>
            <w:hideMark/>
          </w:tcPr>
          <w:p w14:paraId="708C8E9B" w14:textId="77777777" w:rsidR="0002316A" w:rsidRPr="00C66BD5" w:rsidRDefault="0002316A" w:rsidP="005F3681">
            <w:pPr>
              <w:rPr>
                <w:rFonts w:ascii="Arial" w:eastAsia="Times New Roman" w:hAnsi="Arial" w:cs="Arial"/>
                <w:color w:val="000000"/>
                <w:sz w:val="22"/>
                <w:szCs w:val="22"/>
                <w:lang w:val="en-GB"/>
              </w:rPr>
            </w:pPr>
            <w:r w:rsidRPr="00C66BD5">
              <w:rPr>
                <w:rFonts w:ascii="Arial" w:eastAsia="Times New Roman" w:hAnsi="Arial" w:cs="Arial"/>
                <w:i/>
                <w:iCs/>
                <w:color w:val="000000"/>
                <w:sz w:val="22"/>
                <w:szCs w:val="22"/>
                <w:lang w:val="en-GB"/>
              </w:rPr>
              <w:t>Note.</w:t>
            </w:r>
            <w:r w:rsidRPr="00C66BD5">
              <w:rPr>
                <w:rFonts w:ascii="Arial" w:eastAsia="Times New Roman" w:hAnsi="Arial" w:cs="Arial"/>
                <w:color w:val="000000"/>
                <w:sz w:val="22"/>
                <w:szCs w:val="22"/>
                <w:lang w:val="en-GB"/>
              </w:rPr>
              <w:t xml:space="preserve"> Abbreviations: SA: surface area; CV: cortical volume; R = right; L = left; BA = Brodman Area; t</w:t>
            </w:r>
            <w:r w:rsidRPr="00C66BD5">
              <w:rPr>
                <w:rFonts w:ascii="Arial" w:eastAsia="Times New Roman" w:hAnsi="Arial" w:cs="Arial"/>
                <w:color w:val="000000"/>
                <w:sz w:val="22"/>
                <w:szCs w:val="22"/>
                <w:vertAlign w:val="subscript"/>
                <w:lang w:val="en-GB"/>
              </w:rPr>
              <w:t xml:space="preserve">max </w:t>
            </w:r>
            <w:r w:rsidRPr="00C66BD5">
              <w:rPr>
                <w:rFonts w:ascii="Arial" w:eastAsia="Times New Roman" w:hAnsi="Arial" w:cs="Arial"/>
                <w:color w:val="000000"/>
                <w:sz w:val="22"/>
                <w:szCs w:val="22"/>
                <w:lang w:val="en-GB"/>
              </w:rPr>
              <w:t>= maximum absolute t value; x,y,z = Talairach coordinates at t</w:t>
            </w:r>
            <w:r w:rsidRPr="00C66BD5">
              <w:rPr>
                <w:rFonts w:ascii="Arial" w:eastAsia="Times New Roman" w:hAnsi="Arial" w:cs="Arial"/>
                <w:color w:val="000000"/>
                <w:sz w:val="22"/>
                <w:szCs w:val="22"/>
                <w:vertAlign w:val="subscript"/>
                <w:lang w:val="en-GB"/>
              </w:rPr>
              <w:t>max</w:t>
            </w:r>
            <w:r w:rsidRPr="00C66BD5">
              <w:rPr>
                <w:rFonts w:ascii="Arial" w:eastAsia="Times New Roman" w:hAnsi="Arial" w:cs="Arial"/>
                <w:color w:val="000000"/>
                <w:sz w:val="22"/>
                <w:szCs w:val="22"/>
                <w:lang w:val="en-GB"/>
              </w:rPr>
              <w:t>; only clusters with &gt; 100 vertices are reported; positive t values indicate positive correlations; negative t values</w:t>
            </w:r>
            <w:r w:rsidRPr="007B3DED">
              <w:rPr>
                <w:rFonts w:ascii="Arial" w:eastAsia="Times New Roman" w:hAnsi="Arial" w:cs="Arial"/>
                <w:color w:val="000000"/>
                <w:sz w:val="22"/>
                <w:szCs w:val="22"/>
                <w:lang w:val="en-GB"/>
              </w:rPr>
              <w:t xml:space="preserve"> indicate negative correlations</w:t>
            </w:r>
            <w:r w:rsidRPr="00C66BD5">
              <w:rPr>
                <w:rFonts w:ascii="Arial" w:eastAsia="Times New Roman" w:hAnsi="Arial" w:cs="Arial"/>
                <w:color w:val="000000"/>
                <w:sz w:val="22"/>
                <w:szCs w:val="22"/>
                <w:lang w:val="en-GB"/>
              </w:rPr>
              <w:t xml:space="preserve"> </w:t>
            </w:r>
          </w:p>
        </w:tc>
      </w:tr>
      <w:tr w:rsidR="0002316A" w:rsidRPr="00C66BD5" w14:paraId="719BFB2A" w14:textId="77777777" w:rsidTr="005F3681">
        <w:trPr>
          <w:trHeight w:val="300"/>
        </w:trPr>
        <w:tc>
          <w:tcPr>
            <w:tcW w:w="14480" w:type="dxa"/>
            <w:gridSpan w:val="21"/>
            <w:vMerge/>
            <w:tcBorders>
              <w:top w:val="single" w:sz="4" w:space="0" w:color="auto"/>
              <w:left w:val="nil"/>
              <w:bottom w:val="nil"/>
              <w:right w:val="nil"/>
            </w:tcBorders>
            <w:vAlign w:val="center"/>
            <w:hideMark/>
          </w:tcPr>
          <w:p w14:paraId="6DDA7A8A" w14:textId="77777777" w:rsidR="0002316A" w:rsidRPr="00C66BD5" w:rsidRDefault="0002316A" w:rsidP="005F3681">
            <w:pPr>
              <w:rPr>
                <w:rFonts w:ascii="Arial" w:eastAsia="Times New Roman" w:hAnsi="Arial" w:cs="Arial"/>
                <w:color w:val="000000"/>
                <w:sz w:val="22"/>
                <w:szCs w:val="22"/>
                <w:lang w:val="en-GB"/>
              </w:rPr>
            </w:pPr>
          </w:p>
        </w:tc>
      </w:tr>
      <w:tr w:rsidR="0002316A" w:rsidRPr="00C66BD5" w14:paraId="6AC583C1" w14:textId="77777777" w:rsidTr="005F3681">
        <w:trPr>
          <w:trHeight w:val="300"/>
        </w:trPr>
        <w:tc>
          <w:tcPr>
            <w:tcW w:w="14480" w:type="dxa"/>
            <w:gridSpan w:val="21"/>
            <w:vMerge/>
            <w:tcBorders>
              <w:top w:val="single" w:sz="4" w:space="0" w:color="auto"/>
              <w:left w:val="nil"/>
              <w:bottom w:val="nil"/>
              <w:right w:val="nil"/>
            </w:tcBorders>
            <w:vAlign w:val="center"/>
            <w:hideMark/>
          </w:tcPr>
          <w:p w14:paraId="07FF5DFE" w14:textId="77777777" w:rsidR="0002316A" w:rsidRPr="00C66BD5" w:rsidRDefault="0002316A" w:rsidP="005F3681">
            <w:pPr>
              <w:rPr>
                <w:rFonts w:ascii="Arial" w:eastAsia="Times New Roman" w:hAnsi="Arial" w:cs="Arial"/>
                <w:color w:val="000000"/>
                <w:sz w:val="22"/>
                <w:szCs w:val="22"/>
                <w:lang w:val="en-GB"/>
              </w:rPr>
            </w:pPr>
          </w:p>
        </w:tc>
      </w:tr>
    </w:tbl>
    <w:p w14:paraId="365C82F1" w14:textId="77777777" w:rsidR="0002316A" w:rsidRPr="007B3DED" w:rsidRDefault="0002316A" w:rsidP="005F3681">
      <w:pPr>
        <w:spacing w:line="360" w:lineRule="auto"/>
        <w:rPr>
          <w:rFonts w:ascii="Arial" w:hAnsi="Arial" w:cs="Arial"/>
          <w:sz w:val="22"/>
          <w:szCs w:val="22"/>
        </w:rPr>
      </w:pPr>
    </w:p>
    <w:p w14:paraId="141E06DF" w14:textId="1BE0A7E6" w:rsidR="00FA4C63" w:rsidRPr="002754AA" w:rsidRDefault="002754AA" w:rsidP="00A263E5">
      <w:pPr>
        <w:spacing w:line="360" w:lineRule="auto"/>
        <w:rPr>
          <w:rFonts w:ascii="Arial" w:hAnsi="Arial" w:cs="Arial"/>
          <w:b/>
          <w:bCs/>
          <w:caps/>
          <w:sz w:val="22"/>
          <w:szCs w:val="22"/>
        </w:rPr>
      </w:pPr>
      <w:r>
        <w:rPr>
          <w:rFonts w:ascii="Arial" w:hAnsi="Arial" w:cs="Arial"/>
          <w:b/>
          <w:sz w:val="22"/>
          <w:szCs w:val="22"/>
        </w:rPr>
        <w:br w:type="column"/>
      </w:r>
      <w:r w:rsidRPr="002754AA">
        <w:rPr>
          <w:rFonts w:ascii="Arial" w:hAnsi="Arial" w:cs="Arial"/>
          <w:b/>
          <w:bCs/>
          <w:caps/>
          <w:sz w:val="22"/>
          <w:szCs w:val="22"/>
        </w:rPr>
        <w:lastRenderedPageBreak/>
        <w:t>Supplementary Figure 1</w:t>
      </w:r>
    </w:p>
    <w:p w14:paraId="76115AEE" w14:textId="6CE8287D" w:rsidR="002754AA" w:rsidRDefault="00F547FD" w:rsidP="00A263E5">
      <w:pPr>
        <w:spacing w:line="360" w:lineRule="auto"/>
        <w:rPr>
          <w:rFonts w:ascii="Arial" w:hAnsi="Arial" w:cs="Arial"/>
          <w:b/>
          <w:bCs/>
          <w:caps/>
          <w:sz w:val="22"/>
          <w:szCs w:val="22"/>
        </w:rPr>
      </w:pPr>
      <w:r>
        <w:rPr>
          <w:rFonts w:ascii="Arial" w:hAnsi="Arial" w:cs="Arial"/>
          <w:b/>
          <w:noProof/>
          <w:sz w:val="22"/>
          <w:szCs w:val="22"/>
          <w:lang w:eastAsia="nl-NL"/>
        </w:rPr>
        <w:drawing>
          <wp:inline distT="0" distB="0" distL="0" distR="0" wp14:anchorId="216646B0" wp14:editId="3B83460F">
            <wp:extent cx="8326860" cy="5482800"/>
            <wp:effectExtent l="0" t="0" r="444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jpg"/>
                    <pic:cNvPicPr/>
                  </pic:nvPicPr>
                  <pic:blipFill>
                    <a:blip r:embed="rId17">
                      <a:extLst>
                        <a:ext uri="{28A0092B-C50C-407E-A947-70E740481C1C}">
                          <a14:useLocalDpi xmlns:a14="http://schemas.microsoft.com/office/drawing/2010/main" val="0"/>
                        </a:ext>
                      </a:extLst>
                    </a:blip>
                    <a:stretch>
                      <a:fillRect/>
                    </a:stretch>
                  </pic:blipFill>
                  <pic:spPr>
                    <a:xfrm>
                      <a:off x="0" y="0"/>
                      <a:ext cx="8326860" cy="5482800"/>
                    </a:xfrm>
                    <a:prstGeom prst="rect">
                      <a:avLst/>
                    </a:prstGeom>
                  </pic:spPr>
                </pic:pic>
              </a:graphicData>
            </a:graphic>
          </wp:inline>
        </w:drawing>
      </w:r>
      <w:r w:rsidR="002754AA">
        <w:rPr>
          <w:rFonts w:ascii="Arial" w:hAnsi="Arial" w:cs="Arial"/>
          <w:b/>
          <w:noProof/>
          <w:sz w:val="22"/>
          <w:szCs w:val="22"/>
        </w:rPr>
        <w:br w:type="column"/>
      </w:r>
      <w:r w:rsidR="002754AA" w:rsidRPr="002754AA">
        <w:rPr>
          <w:rFonts w:ascii="Arial" w:hAnsi="Arial" w:cs="Arial"/>
          <w:b/>
          <w:bCs/>
          <w:caps/>
          <w:sz w:val="22"/>
          <w:szCs w:val="22"/>
        </w:rPr>
        <w:lastRenderedPageBreak/>
        <w:t xml:space="preserve">Supplementary Figure </w:t>
      </w:r>
      <w:r w:rsidR="002754AA">
        <w:rPr>
          <w:rFonts w:ascii="Arial" w:hAnsi="Arial" w:cs="Arial"/>
          <w:b/>
          <w:bCs/>
          <w:caps/>
          <w:sz w:val="22"/>
          <w:szCs w:val="22"/>
        </w:rPr>
        <w:t>2</w:t>
      </w:r>
    </w:p>
    <w:p w14:paraId="09B127FC" w14:textId="0B85B982" w:rsidR="002754AA" w:rsidRPr="00FA4C63" w:rsidRDefault="00F547FD" w:rsidP="00A263E5">
      <w:pPr>
        <w:spacing w:line="360" w:lineRule="auto"/>
        <w:rPr>
          <w:rFonts w:ascii="Arial" w:hAnsi="Arial" w:cs="Arial"/>
          <w:b/>
          <w:sz w:val="22"/>
          <w:szCs w:val="22"/>
        </w:rPr>
      </w:pPr>
      <w:r>
        <w:rPr>
          <w:rFonts w:ascii="Arial" w:hAnsi="Arial" w:cs="Arial"/>
          <w:b/>
          <w:noProof/>
          <w:sz w:val="22"/>
          <w:szCs w:val="22"/>
          <w:lang w:eastAsia="nl-NL"/>
        </w:rPr>
        <w:drawing>
          <wp:inline distT="0" distB="0" distL="0" distR="0" wp14:anchorId="242A6102" wp14:editId="55E3DBB0">
            <wp:extent cx="8123140" cy="5119200"/>
            <wp:effectExtent l="0" t="0" r="5080"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CorrelationRevision.jpg"/>
                    <pic:cNvPicPr/>
                  </pic:nvPicPr>
                  <pic:blipFill>
                    <a:blip r:embed="rId18">
                      <a:extLst>
                        <a:ext uri="{28A0092B-C50C-407E-A947-70E740481C1C}">
                          <a14:useLocalDpi xmlns:a14="http://schemas.microsoft.com/office/drawing/2010/main" val="0"/>
                        </a:ext>
                      </a:extLst>
                    </a:blip>
                    <a:stretch>
                      <a:fillRect/>
                    </a:stretch>
                  </pic:blipFill>
                  <pic:spPr>
                    <a:xfrm>
                      <a:off x="0" y="0"/>
                      <a:ext cx="8123140" cy="5119200"/>
                    </a:xfrm>
                    <a:prstGeom prst="rect">
                      <a:avLst/>
                    </a:prstGeom>
                  </pic:spPr>
                </pic:pic>
              </a:graphicData>
            </a:graphic>
          </wp:inline>
        </w:drawing>
      </w:r>
    </w:p>
    <w:sectPr w:rsidR="002754AA" w:rsidRPr="00FA4C63" w:rsidSect="002E024E">
      <w:pgSz w:w="16840" w:h="11901"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F5BB5A" w14:textId="77777777" w:rsidR="005F3681" w:rsidRDefault="005F3681" w:rsidP="00305BD8">
      <w:r>
        <w:separator/>
      </w:r>
    </w:p>
  </w:endnote>
  <w:endnote w:type="continuationSeparator" w:id="0">
    <w:p w14:paraId="2A45BD36" w14:textId="77777777" w:rsidR="005F3681" w:rsidRDefault="005F3681" w:rsidP="00305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DejaVu Sans Condensed">
    <w:altName w:val="Times New Roman"/>
    <w:charset w:val="00"/>
    <w:family w:val="swiss"/>
    <w:pitch w:val="variable"/>
    <w:sig w:usb0="E7000EFF" w:usb1="5200F5FF" w:usb2="0A242021" w:usb3="00000000" w:csb0="000001BF" w:csb1="00000000"/>
  </w:font>
  <w:font w:name="Verdana">
    <w:panose1 w:val="020B0604030504040204"/>
    <w:charset w:val="00"/>
    <w:family w:val="auto"/>
    <w:pitch w:val="variable"/>
    <w:sig w:usb0="A10006FF" w:usb1="4000205B" w:usb2="00000010" w:usb3="00000000" w:csb0="0000019F" w:csb1="00000000"/>
  </w:font>
  <w:font w:name="Utopia-Regular">
    <w:altName w:val="ＭＳ 明朝"/>
    <w:panose1 w:val="00000000000000000000"/>
    <w:charset w:val="80"/>
    <w:family w:val="roman"/>
    <w:notTrueType/>
    <w:pitch w:val="default"/>
    <w:sig w:usb0="00000000" w:usb1="08070000" w:usb2="00000010" w:usb3="00000000" w:csb0="00020000" w:csb1="00000000"/>
  </w:font>
  <w:font w:name="ArialMT">
    <w:altName w:val="Arial"/>
    <w:charset w:val="80"/>
    <w:family w:val="swiss"/>
    <w:pitch w:val="default"/>
  </w:font>
  <w:font w:name="Cambria Math">
    <w:panose1 w:val="02040503050406030204"/>
    <w:charset w:val="00"/>
    <w:family w:val="auto"/>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7A72F" w14:textId="77777777" w:rsidR="005F3681" w:rsidRDefault="005F3681" w:rsidP="000E5EFC">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1855AB0A" w14:textId="77777777" w:rsidR="005F3681" w:rsidRDefault="005F3681">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A0A04" w14:textId="77777777" w:rsidR="005F3681" w:rsidRPr="00423B4B" w:rsidRDefault="005F3681" w:rsidP="000E5EFC">
    <w:pPr>
      <w:pStyle w:val="Voettekst"/>
      <w:framePr w:wrap="around" w:vAnchor="text" w:hAnchor="margin" w:xAlign="center" w:y="1"/>
      <w:rPr>
        <w:rStyle w:val="Paginanummer"/>
        <w:rFonts w:ascii="Arial" w:hAnsi="Arial" w:cs="Arial"/>
        <w:sz w:val="22"/>
        <w:szCs w:val="22"/>
      </w:rPr>
    </w:pPr>
    <w:r w:rsidRPr="00423B4B">
      <w:rPr>
        <w:rStyle w:val="Paginanummer"/>
        <w:rFonts w:ascii="Arial" w:hAnsi="Arial" w:cs="Arial"/>
        <w:sz w:val="22"/>
        <w:szCs w:val="22"/>
      </w:rPr>
      <w:fldChar w:fldCharType="begin"/>
    </w:r>
    <w:r w:rsidRPr="00423B4B">
      <w:rPr>
        <w:rStyle w:val="Paginanummer"/>
        <w:rFonts w:ascii="Arial" w:hAnsi="Arial" w:cs="Arial"/>
        <w:sz w:val="22"/>
        <w:szCs w:val="22"/>
      </w:rPr>
      <w:instrText xml:space="preserve">PAGE  </w:instrText>
    </w:r>
    <w:r w:rsidRPr="00423B4B">
      <w:rPr>
        <w:rStyle w:val="Paginanummer"/>
        <w:rFonts w:ascii="Arial" w:hAnsi="Arial" w:cs="Arial"/>
        <w:sz w:val="22"/>
        <w:szCs w:val="22"/>
      </w:rPr>
      <w:fldChar w:fldCharType="separate"/>
    </w:r>
    <w:r w:rsidR="00E65B87">
      <w:rPr>
        <w:rStyle w:val="Paginanummer"/>
        <w:rFonts w:ascii="Arial" w:hAnsi="Arial" w:cs="Arial"/>
        <w:noProof/>
        <w:sz w:val="22"/>
        <w:szCs w:val="22"/>
      </w:rPr>
      <w:t>31</w:t>
    </w:r>
    <w:r w:rsidRPr="00423B4B">
      <w:rPr>
        <w:rStyle w:val="Paginanummer"/>
        <w:rFonts w:ascii="Arial" w:hAnsi="Arial" w:cs="Arial"/>
        <w:sz w:val="22"/>
        <w:szCs w:val="22"/>
      </w:rPr>
      <w:fldChar w:fldCharType="end"/>
    </w:r>
  </w:p>
  <w:p w14:paraId="680F4492" w14:textId="77777777" w:rsidR="005F3681" w:rsidRDefault="005F3681">
    <w:pPr>
      <w:pStyle w:val="Voetteks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82CE6" w14:textId="77777777" w:rsidR="005F3681" w:rsidRDefault="005F3681" w:rsidP="005F3681">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387F22C3" w14:textId="77777777" w:rsidR="005F3681" w:rsidRDefault="005F3681">
    <w:pPr>
      <w:pStyle w:val="Voettekst"/>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58663" w14:textId="77777777" w:rsidR="005F3681" w:rsidRPr="007C12EE" w:rsidRDefault="005F3681" w:rsidP="005F3681">
    <w:pPr>
      <w:pStyle w:val="Voettekst"/>
      <w:framePr w:wrap="around" w:vAnchor="text" w:hAnchor="margin" w:xAlign="center" w:y="1"/>
      <w:rPr>
        <w:rStyle w:val="Paginanummer"/>
        <w:rFonts w:ascii="Arial" w:hAnsi="Arial" w:cs="Arial"/>
        <w:sz w:val="22"/>
        <w:szCs w:val="22"/>
      </w:rPr>
    </w:pPr>
    <w:r w:rsidRPr="007C12EE">
      <w:rPr>
        <w:rStyle w:val="Paginanummer"/>
        <w:rFonts w:ascii="Arial" w:hAnsi="Arial" w:cs="Arial"/>
        <w:sz w:val="22"/>
        <w:szCs w:val="22"/>
      </w:rPr>
      <w:fldChar w:fldCharType="begin"/>
    </w:r>
    <w:r w:rsidRPr="007C12EE">
      <w:rPr>
        <w:rStyle w:val="Paginanummer"/>
        <w:rFonts w:ascii="Arial" w:hAnsi="Arial" w:cs="Arial"/>
        <w:sz w:val="22"/>
        <w:szCs w:val="22"/>
      </w:rPr>
      <w:instrText xml:space="preserve">PAGE  </w:instrText>
    </w:r>
    <w:r w:rsidRPr="007C12EE">
      <w:rPr>
        <w:rStyle w:val="Paginanummer"/>
        <w:rFonts w:ascii="Arial" w:hAnsi="Arial" w:cs="Arial"/>
        <w:sz w:val="22"/>
        <w:szCs w:val="22"/>
      </w:rPr>
      <w:fldChar w:fldCharType="separate"/>
    </w:r>
    <w:r w:rsidR="00E65B87">
      <w:rPr>
        <w:rStyle w:val="Paginanummer"/>
        <w:rFonts w:ascii="Arial" w:hAnsi="Arial" w:cs="Arial"/>
        <w:noProof/>
        <w:sz w:val="22"/>
        <w:szCs w:val="22"/>
      </w:rPr>
      <w:t>37</w:t>
    </w:r>
    <w:r w:rsidRPr="007C12EE">
      <w:rPr>
        <w:rStyle w:val="Paginanummer"/>
        <w:rFonts w:ascii="Arial" w:hAnsi="Arial" w:cs="Arial"/>
        <w:sz w:val="22"/>
        <w:szCs w:val="22"/>
      </w:rPr>
      <w:fldChar w:fldCharType="end"/>
    </w:r>
  </w:p>
  <w:p w14:paraId="16C16334" w14:textId="77777777" w:rsidR="005F3681" w:rsidRDefault="005F3681">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71A2D9" w14:textId="77777777" w:rsidR="005F3681" w:rsidRDefault="005F3681" w:rsidP="00305BD8">
      <w:r>
        <w:separator/>
      </w:r>
    </w:p>
  </w:footnote>
  <w:footnote w:type="continuationSeparator" w:id="0">
    <w:p w14:paraId="37506EA9" w14:textId="77777777" w:rsidR="005F3681" w:rsidRDefault="005F3681" w:rsidP="00305BD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D4457"/>
    <w:multiLevelType w:val="hybridMultilevel"/>
    <w:tmpl w:val="01C41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345A8E"/>
    <w:multiLevelType w:val="multilevel"/>
    <w:tmpl w:val="815E8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F82233"/>
    <w:multiLevelType w:val="hybridMultilevel"/>
    <w:tmpl w:val="B26E94DA"/>
    <w:lvl w:ilvl="0" w:tplc="B232AA66">
      <w:start w:val="5"/>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2D541D"/>
    <w:multiLevelType w:val="hybridMultilevel"/>
    <w:tmpl w:val="44920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D713105"/>
    <w:multiLevelType w:val="hybridMultilevel"/>
    <w:tmpl w:val="82103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zzan, Paola">
    <w15:presenceInfo w15:providerId="None" w15:userId="Dazzan, Pao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063"/>
    <w:rsid w:val="0000095E"/>
    <w:rsid w:val="00000B43"/>
    <w:rsid w:val="00013FE3"/>
    <w:rsid w:val="000144CC"/>
    <w:rsid w:val="000148DD"/>
    <w:rsid w:val="00015420"/>
    <w:rsid w:val="000215B8"/>
    <w:rsid w:val="000217E9"/>
    <w:rsid w:val="00023148"/>
    <w:rsid w:val="0002316A"/>
    <w:rsid w:val="000232EE"/>
    <w:rsid w:val="00023443"/>
    <w:rsid w:val="000275AA"/>
    <w:rsid w:val="000279DE"/>
    <w:rsid w:val="00031077"/>
    <w:rsid w:val="000330F7"/>
    <w:rsid w:val="000350B0"/>
    <w:rsid w:val="00044073"/>
    <w:rsid w:val="000446F6"/>
    <w:rsid w:val="00046D96"/>
    <w:rsid w:val="00050EE0"/>
    <w:rsid w:val="00053AFD"/>
    <w:rsid w:val="00056E4A"/>
    <w:rsid w:val="0005759B"/>
    <w:rsid w:val="0005767E"/>
    <w:rsid w:val="00057828"/>
    <w:rsid w:val="000604C0"/>
    <w:rsid w:val="00060DE7"/>
    <w:rsid w:val="000626B5"/>
    <w:rsid w:val="00063197"/>
    <w:rsid w:val="00063A25"/>
    <w:rsid w:val="00066550"/>
    <w:rsid w:val="000672D6"/>
    <w:rsid w:val="00067602"/>
    <w:rsid w:val="00077430"/>
    <w:rsid w:val="00080E26"/>
    <w:rsid w:val="00082500"/>
    <w:rsid w:val="00083BDF"/>
    <w:rsid w:val="0008540C"/>
    <w:rsid w:val="00085621"/>
    <w:rsid w:val="00085D13"/>
    <w:rsid w:val="00085F91"/>
    <w:rsid w:val="00094D68"/>
    <w:rsid w:val="000975B6"/>
    <w:rsid w:val="000A2E56"/>
    <w:rsid w:val="000A3AA0"/>
    <w:rsid w:val="000A56E0"/>
    <w:rsid w:val="000A6880"/>
    <w:rsid w:val="000B17A7"/>
    <w:rsid w:val="000B1E16"/>
    <w:rsid w:val="000B7B19"/>
    <w:rsid w:val="000C03B4"/>
    <w:rsid w:val="000C24E0"/>
    <w:rsid w:val="000C5E72"/>
    <w:rsid w:val="000D39F7"/>
    <w:rsid w:val="000D6095"/>
    <w:rsid w:val="000D7C6E"/>
    <w:rsid w:val="000E0115"/>
    <w:rsid w:val="000E0235"/>
    <w:rsid w:val="000E042D"/>
    <w:rsid w:val="000E1310"/>
    <w:rsid w:val="000E16D5"/>
    <w:rsid w:val="000E16DD"/>
    <w:rsid w:val="000E4797"/>
    <w:rsid w:val="000E4F35"/>
    <w:rsid w:val="000E5EFC"/>
    <w:rsid w:val="000F2CD9"/>
    <w:rsid w:val="000F400F"/>
    <w:rsid w:val="000F7868"/>
    <w:rsid w:val="00100147"/>
    <w:rsid w:val="00101981"/>
    <w:rsid w:val="00101F90"/>
    <w:rsid w:val="001040B9"/>
    <w:rsid w:val="0010495A"/>
    <w:rsid w:val="00104D04"/>
    <w:rsid w:val="00105AF4"/>
    <w:rsid w:val="0011003B"/>
    <w:rsid w:val="00114240"/>
    <w:rsid w:val="0011490B"/>
    <w:rsid w:val="00116D8E"/>
    <w:rsid w:val="001172C0"/>
    <w:rsid w:val="0012116E"/>
    <w:rsid w:val="00131CBE"/>
    <w:rsid w:val="0013443A"/>
    <w:rsid w:val="0013561A"/>
    <w:rsid w:val="00136399"/>
    <w:rsid w:val="00141FCA"/>
    <w:rsid w:val="001422C2"/>
    <w:rsid w:val="00152B9B"/>
    <w:rsid w:val="00155458"/>
    <w:rsid w:val="00156CA8"/>
    <w:rsid w:val="00162F40"/>
    <w:rsid w:val="00163130"/>
    <w:rsid w:val="00165B94"/>
    <w:rsid w:val="00167FC1"/>
    <w:rsid w:val="00172674"/>
    <w:rsid w:val="00173D6A"/>
    <w:rsid w:val="00174777"/>
    <w:rsid w:val="001757A7"/>
    <w:rsid w:val="001801C0"/>
    <w:rsid w:val="001803CA"/>
    <w:rsid w:val="00181513"/>
    <w:rsid w:val="00184498"/>
    <w:rsid w:val="0018461F"/>
    <w:rsid w:val="00186D83"/>
    <w:rsid w:val="00187AC7"/>
    <w:rsid w:val="00187E90"/>
    <w:rsid w:val="001918DE"/>
    <w:rsid w:val="00193481"/>
    <w:rsid w:val="00197A3E"/>
    <w:rsid w:val="001A20A7"/>
    <w:rsid w:val="001B26C8"/>
    <w:rsid w:val="001B4566"/>
    <w:rsid w:val="001B5A20"/>
    <w:rsid w:val="001C1D7B"/>
    <w:rsid w:val="001C5D89"/>
    <w:rsid w:val="001C61B7"/>
    <w:rsid w:val="001C67B1"/>
    <w:rsid w:val="001C7E16"/>
    <w:rsid w:val="001D00A9"/>
    <w:rsid w:val="001D7636"/>
    <w:rsid w:val="001E17A3"/>
    <w:rsid w:val="001E5EB0"/>
    <w:rsid w:val="001E6C93"/>
    <w:rsid w:val="001E744E"/>
    <w:rsid w:val="001F0700"/>
    <w:rsid w:val="001F1CA6"/>
    <w:rsid w:val="001F2781"/>
    <w:rsid w:val="001F53ED"/>
    <w:rsid w:val="001F5A94"/>
    <w:rsid w:val="001F66A3"/>
    <w:rsid w:val="0020072A"/>
    <w:rsid w:val="002034D6"/>
    <w:rsid w:val="002041B4"/>
    <w:rsid w:val="00206680"/>
    <w:rsid w:val="00210016"/>
    <w:rsid w:val="0021089C"/>
    <w:rsid w:val="00213E2D"/>
    <w:rsid w:val="002157FE"/>
    <w:rsid w:val="00216F25"/>
    <w:rsid w:val="0021702A"/>
    <w:rsid w:val="00220ECB"/>
    <w:rsid w:val="00221EC5"/>
    <w:rsid w:val="00222909"/>
    <w:rsid w:val="00222DC1"/>
    <w:rsid w:val="00226611"/>
    <w:rsid w:val="0022708B"/>
    <w:rsid w:val="002323A4"/>
    <w:rsid w:val="00233DA6"/>
    <w:rsid w:val="002357B7"/>
    <w:rsid w:val="00235DB9"/>
    <w:rsid w:val="00236E70"/>
    <w:rsid w:val="00237D31"/>
    <w:rsid w:val="00240314"/>
    <w:rsid w:val="00241C9E"/>
    <w:rsid w:val="0024268B"/>
    <w:rsid w:val="00243070"/>
    <w:rsid w:val="002449AF"/>
    <w:rsid w:val="00244CA5"/>
    <w:rsid w:val="00245A4C"/>
    <w:rsid w:val="002468CA"/>
    <w:rsid w:val="00246A91"/>
    <w:rsid w:val="00247724"/>
    <w:rsid w:val="00251D8A"/>
    <w:rsid w:val="00252971"/>
    <w:rsid w:val="00254B66"/>
    <w:rsid w:val="00255688"/>
    <w:rsid w:val="00255DCC"/>
    <w:rsid w:val="0025625E"/>
    <w:rsid w:val="00256B57"/>
    <w:rsid w:val="00256E83"/>
    <w:rsid w:val="00261119"/>
    <w:rsid w:val="00262473"/>
    <w:rsid w:val="00265C80"/>
    <w:rsid w:val="0026613A"/>
    <w:rsid w:val="00266592"/>
    <w:rsid w:val="00266779"/>
    <w:rsid w:val="0026698D"/>
    <w:rsid w:val="00272678"/>
    <w:rsid w:val="0027384E"/>
    <w:rsid w:val="002754AA"/>
    <w:rsid w:val="00277FBE"/>
    <w:rsid w:val="002834F0"/>
    <w:rsid w:val="002934DF"/>
    <w:rsid w:val="00294565"/>
    <w:rsid w:val="00295F63"/>
    <w:rsid w:val="002965B5"/>
    <w:rsid w:val="002A1E49"/>
    <w:rsid w:val="002A27C3"/>
    <w:rsid w:val="002A3314"/>
    <w:rsid w:val="002A427A"/>
    <w:rsid w:val="002B0900"/>
    <w:rsid w:val="002B12F0"/>
    <w:rsid w:val="002B1834"/>
    <w:rsid w:val="002B1A5F"/>
    <w:rsid w:val="002B1A66"/>
    <w:rsid w:val="002B39DE"/>
    <w:rsid w:val="002B4083"/>
    <w:rsid w:val="002B572F"/>
    <w:rsid w:val="002C04BF"/>
    <w:rsid w:val="002C2539"/>
    <w:rsid w:val="002C5A13"/>
    <w:rsid w:val="002C6029"/>
    <w:rsid w:val="002C60CA"/>
    <w:rsid w:val="002D04A7"/>
    <w:rsid w:val="002D1FC6"/>
    <w:rsid w:val="002D290B"/>
    <w:rsid w:val="002D4AE9"/>
    <w:rsid w:val="002D4F22"/>
    <w:rsid w:val="002E024E"/>
    <w:rsid w:val="002E10A5"/>
    <w:rsid w:val="002E1D5E"/>
    <w:rsid w:val="002E3488"/>
    <w:rsid w:val="002E3B4A"/>
    <w:rsid w:val="002E5BD5"/>
    <w:rsid w:val="002E61E0"/>
    <w:rsid w:val="002E69BE"/>
    <w:rsid w:val="002E7A9F"/>
    <w:rsid w:val="002F0122"/>
    <w:rsid w:val="002F450C"/>
    <w:rsid w:val="002F479C"/>
    <w:rsid w:val="002F5AB2"/>
    <w:rsid w:val="002F5CF0"/>
    <w:rsid w:val="002F7AEF"/>
    <w:rsid w:val="002F7CE4"/>
    <w:rsid w:val="003009D5"/>
    <w:rsid w:val="003019F8"/>
    <w:rsid w:val="00302EE1"/>
    <w:rsid w:val="00303083"/>
    <w:rsid w:val="0030315F"/>
    <w:rsid w:val="0030381D"/>
    <w:rsid w:val="003038A0"/>
    <w:rsid w:val="003045FC"/>
    <w:rsid w:val="00305BD8"/>
    <w:rsid w:val="00306236"/>
    <w:rsid w:val="00310A43"/>
    <w:rsid w:val="00312F7B"/>
    <w:rsid w:val="0031327D"/>
    <w:rsid w:val="00314BFE"/>
    <w:rsid w:val="00316D2C"/>
    <w:rsid w:val="00321253"/>
    <w:rsid w:val="00324EC2"/>
    <w:rsid w:val="0032505F"/>
    <w:rsid w:val="00327B6A"/>
    <w:rsid w:val="00332D0B"/>
    <w:rsid w:val="003341C6"/>
    <w:rsid w:val="00335151"/>
    <w:rsid w:val="003373B7"/>
    <w:rsid w:val="00337D41"/>
    <w:rsid w:val="00337FD4"/>
    <w:rsid w:val="00345B71"/>
    <w:rsid w:val="003504FB"/>
    <w:rsid w:val="00351945"/>
    <w:rsid w:val="0035256B"/>
    <w:rsid w:val="00352F9A"/>
    <w:rsid w:val="00353162"/>
    <w:rsid w:val="00354019"/>
    <w:rsid w:val="003547C0"/>
    <w:rsid w:val="00355825"/>
    <w:rsid w:val="0036045C"/>
    <w:rsid w:val="00361AC0"/>
    <w:rsid w:val="0036229C"/>
    <w:rsid w:val="0036266A"/>
    <w:rsid w:val="003628D4"/>
    <w:rsid w:val="00362E34"/>
    <w:rsid w:val="00364BF6"/>
    <w:rsid w:val="00367006"/>
    <w:rsid w:val="0036726D"/>
    <w:rsid w:val="00370760"/>
    <w:rsid w:val="00370D6F"/>
    <w:rsid w:val="00371299"/>
    <w:rsid w:val="003712E8"/>
    <w:rsid w:val="003719DD"/>
    <w:rsid w:val="00373A45"/>
    <w:rsid w:val="00373F3F"/>
    <w:rsid w:val="00374870"/>
    <w:rsid w:val="00375C38"/>
    <w:rsid w:val="003767CA"/>
    <w:rsid w:val="003778B0"/>
    <w:rsid w:val="00377D28"/>
    <w:rsid w:val="00380B26"/>
    <w:rsid w:val="00381C79"/>
    <w:rsid w:val="0038272C"/>
    <w:rsid w:val="00386A51"/>
    <w:rsid w:val="00386CDA"/>
    <w:rsid w:val="00390C5E"/>
    <w:rsid w:val="0039161C"/>
    <w:rsid w:val="0039239A"/>
    <w:rsid w:val="00392848"/>
    <w:rsid w:val="003979ED"/>
    <w:rsid w:val="003A02E1"/>
    <w:rsid w:val="003A2733"/>
    <w:rsid w:val="003A3E79"/>
    <w:rsid w:val="003A4641"/>
    <w:rsid w:val="003A68D4"/>
    <w:rsid w:val="003A6C21"/>
    <w:rsid w:val="003B3FB9"/>
    <w:rsid w:val="003B44CD"/>
    <w:rsid w:val="003B531A"/>
    <w:rsid w:val="003B721C"/>
    <w:rsid w:val="003B7C90"/>
    <w:rsid w:val="003C0E40"/>
    <w:rsid w:val="003C15E2"/>
    <w:rsid w:val="003C1BAB"/>
    <w:rsid w:val="003C3ECC"/>
    <w:rsid w:val="003C5901"/>
    <w:rsid w:val="003C6D1D"/>
    <w:rsid w:val="003C779A"/>
    <w:rsid w:val="003D0319"/>
    <w:rsid w:val="003D2878"/>
    <w:rsid w:val="003D3502"/>
    <w:rsid w:val="003D6746"/>
    <w:rsid w:val="003E0C78"/>
    <w:rsid w:val="003E157A"/>
    <w:rsid w:val="003E2FC9"/>
    <w:rsid w:val="003E5058"/>
    <w:rsid w:val="003E6FC3"/>
    <w:rsid w:val="003F096C"/>
    <w:rsid w:val="003F2D78"/>
    <w:rsid w:val="003F35C9"/>
    <w:rsid w:val="003F3E1F"/>
    <w:rsid w:val="003F44DC"/>
    <w:rsid w:val="003F5FE5"/>
    <w:rsid w:val="003F65E9"/>
    <w:rsid w:val="003F67C4"/>
    <w:rsid w:val="003F6AAA"/>
    <w:rsid w:val="003F76EF"/>
    <w:rsid w:val="00402063"/>
    <w:rsid w:val="004037A8"/>
    <w:rsid w:val="00403D63"/>
    <w:rsid w:val="004041DF"/>
    <w:rsid w:val="004043D6"/>
    <w:rsid w:val="00404909"/>
    <w:rsid w:val="00404CEA"/>
    <w:rsid w:val="00412250"/>
    <w:rsid w:val="004125B9"/>
    <w:rsid w:val="00415FFE"/>
    <w:rsid w:val="0042011D"/>
    <w:rsid w:val="0042167B"/>
    <w:rsid w:val="00421BE2"/>
    <w:rsid w:val="00422C50"/>
    <w:rsid w:val="00426172"/>
    <w:rsid w:val="00426352"/>
    <w:rsid w:val="00426811"/>
    <w:rsid w:val="00430DA7"/>
    <w:rsid w:val="004326CE"/>
    <w:rsid w:val="00432ECE"/>
    <w:rsid w:val="00434CF0"/>
    <w:rsid w:val="00434F7D"/>
    <w:rsid w:val="004357B8"/>
    <w:rsid w:val="00437819"/>
    <w:rsid w:val="00437CD0"/>
    <w:rsid w:val="00437E0A"/>
    <w:rsid w:val="004402BB"/>
    <w:rsid w:val="00440B85"/>
    <w:rsid w:val="00444143"/>
    <w:rsid w:val="0044549A"/>
    <w:rsid w:val="0044692A"/>
    <w:rsid w:val="004473B2"/>
    <w:rsid w:val="00450FDF"/>
    <w:rsid w:val="00451793"/>
    <w:rsid w:val="004530A8"/>
    <w:rsid w:val="00454254"/>
    <w:rsid w:val="004560C6"/>
    <w:rsid w:val="0045669F"/>
    <w:rsid w:val="00456C62"/>
    <w:rsid w:val="004609B2"/>
    <w:rsid w:val="00460EEA"/>
    <w:rsid w:val="00461F27"/>
    <w:rsid w:val="0046225A"/>
    <w:rsid w:val="00465487"/>
    <w:rsid w:val="00465751"/>
    <w:rsid w:val="00465AF2"/>
    <w:rsid w:val="004666D7"/>
    <w:rsid w:val="004672B9"/>
    <w:rsid w:val="004673ED"/>
    <w:rsid w:val="00467E73"/>
    <w:rsid w:val="004700C5"/>
    <w:rsid w:val="004716A6"/>
    <w:rsid w:val="00471897"/>
    <w:rsid w:val="00471A96"/>
    <w:rsid w:val="00473AF1"/>
    <w:rsid w:val="00474193"/>
    <w:rsid w:val="004744AD"/>
    <w:rsid w:val="00476D5B"/>
    <w:rsid w:val="00476EC1"/>
    <w:rsid w:val="0048126D"/>
    <w:rsid w:val="0048129C"/>
    <w:rsid w:val="004844F8"/>
    <w:rsid w:val="00484681"/>
    <w:rsid w:val="004859EC"/>
    <w:rsid w:val="004860AD"/>
    <w:rsid w:val="00490678"/>
    <w:rsid w:val="00490D25"/>
    <w:rsid w:val="00491267"/>
    <w:rsid w:val="00491A3E"/>
    <w:rsid w:val="004927AF"/>
    <w:rsid w:val="00493099"/>
    <w:rsid w:val="004949C0"/>
    <w:rsid w:val="004A1301"/>
    <w:rsid w:val="004A15AE"/>
    <w:rsid w:val="004A30CB"/>
    <w:rsid w:val="004A341A"/>
    <w:rsid w:val="004A473A"/>
    <w:rsid w:val="004A6A07"/>
    <w:rsid w:val="004A6DD2"/>
    <w:rsid w:val="004A73A5"/>
    <w:rsid w:val="004B0D67"/>
    <w:rsid w:val="004B743A"/>
    <w:rsid w:val="004C08C6"/>
    <w:rsid w:val="004C0C9F"/>
    <w:rsid w:val="004C14A8"/>
    <w:rsid w:val="004C1CEC"/>
    <w:rsid w:val="004C6427"/>
    <w:rsid w:val="004C670C"/>
    <w:rsid w:val="004D0AC7"/>
    <w:rsid w:val="004D0F86"/>
    <w:rsid w:val="004D16C0"/>
    <w:rsid w:val="004D1FA7"/>
    <w:rsid w:val="004D396F"/>
    <w:rsid w:val="004D40BC"/>
    <w:rsid w:val="004D46C8"/>
    <w:rsid w:val="004E3A22"/>
    <w:rsid w:val="004E429C"/>
    <w:rsid w:val="004E71E7"/>
    <w:rsid w:val="004E7885"/>
    <w:rsid w:val="004E7886"/>
    <w:rsid w:val="004E7CB2"/>
    <w:rsid w:val="004E7CB9"/>
    <w:rsid w:val="004E7DEA"/>
    <w:rsid w:val="004F03F6"/>
    <w:rsid w:val="004F0D9E"/>
    <w:rsid w:val="004F20BA"/>
    <w:rsid w:val="004F4BF2"/>
    <w:rsid w:val="004F58B7"/>
    <w:rsid w:val="005006AC"/>
    <w:rsid w:val="0050335D"/>
    <w:rsid w:val="00503D5A"/>
    <w:rsid w:val="00504304"/>
    <w:rsid w:val="00504367"/>
    <w:rsid w:val="00504562"/>
    <w:rsid w:val="00505492"/>
    <w:rsid w:val="005061B1"/>
    <w:rsid w:val="0050630B"/>
    <w:rsid w:val="005119B2"/>
    <w:rsid w:val="005136A9"/>
    <w:rsid w:val="00513DE0"/>
    <w:rsid w:val="0051766E"/>
    <w:rsid w:val="00517ACC"/>
    <w:rsid w:val="00517E91"/>
    <w:rsid w:val="00520370"/>
    <w:rsid w:val="005210C8"/>
    <w:rsid w:val="005219C2"/>
    <w:rsid w:val="00521D67"/>
    <w:rsid w:val="005243D4"/>
    <w:rsid w:val="00526FDA"/>
    <w:rsid w:val="00526FFA"/>
    <w:rsid w:val="005318E1"/>
    <w:rsid w:val="005319B7"/>
    <w:rsid w:val="00531C45"/>
    <w:rsid w:val="00533118"/>
    <w:rsid w:val="005332F2"/>
    <w:rsid w:val="005344B8"/>
    <w:rsid w:val="0053592D"/>
    <w:rsid w:val="00540EB1"/>
    <w:rsid w:val="005430B8"/>
    <w:rsid w:val="00544CFF"/>
    <w:rsid w:val="005459CF"/>
    <w:rsid w:val="00546435"/>
    <w:rsid w:val="00551808"/>
    <w:rsid w:val="00552BF7"/>
    <w:rsid w:val="005542BA"/>
    <w:rsid w:val="005546B1"/>
    <w:rsid w:val="00556176"/>
    <w:rsid w:val="00556325"/>
    <w:rsid w:val="005573CD"/>
    <w:rsid w:val="00557A8C"/>
    <w:rsid w:val="00561F79"/>
    <w:rsid w:val="00564EDE"/>
    <w:rsid w:val="00566B86"/>
    <w:rsid w:val="00567CBC"/>
    <w:rsid w:val="005704F3"/>
    <w:rsid w:val="00572ABF"/>
    <w:rsid w:val="005732B8"/>
    <w:rsid w:val="0057366C"/>
    <w:rsid w:val="00573805"/>
    <w:rsid w:val="00574D64"/>
    <w:rsid w:val="00575602"/>
    <w:rsid w:val="00576049"/>
    <w:rsid w:val="00580F92"/>
    <w:rsid w:val="00581D9B"/>
    <w:rsid w:val="00583C63"/>
    <w:rsid w:val="005853C8"/>
    <w:rsid w:val="00585FD6"/>
    <w:rsid w:val="005866C9"/>
    <w:rsid w:val="00586B60"/>
    <w:rsid w:val="005918A7"/>
    <w:rsid w:val="005925C4"/>
    <w:rsid w:val="005951D6"/>
    <w:rsid w:val="0059559C"/>
    <w:rsid w:val="005A0416"/>
    <w:rsid w:val="005A147A"/>
    <w:rsid w:val="005A1B96"/>
    <w:rsid w:val="005A2860"/>
    <w:rsid w:val="005A4ED6"/>
    <w:rsid w:val="005A6162"/>
    <w:rsid w:val="005A793A"/>
    <w:rsid w:val="005B46CB"/>
    <w:rsid w:val="005B5E5D"/>
    <w:rsid w:val="005B7571"/>
    <w:rsid w:val="005C2E99"/>
    <w:rsid w:val="005C30FA"/>
    <w:rsid w:val="005C5532"/>
    <w:rsid w:val="005C667F"/>
    <w:rsid w:val="005C671F"/>
    <w:rsid w:val="005D38CC"/>
    <w:rsid w:val="005D430D"/>
    <w:rsid w:val="005E21F1"/>
    <w:rsid w:val="005E28E4"/>
    <w:rsid w:val="005E29F4"/>
    <w:rsid w:val="005E4DCB"/>
    <w:rsid w:val="005E74C5"/>
    <w:rsid w:val="005F0C71"/>
    <w:rsid w:val="005F0DD6"/>
    <w:rsid w:val="005F0E70"/>
    <w:rsid w:val="005F15BB"/>
    <w:rsid w:val="005F273F"/>
    <w:rsid w:val="005F3681"/>
    <w:rsid w:val="005F4872"/>
    <w:rsid w:val="005F4D75"/>
    <w:rsid w:val="005F6473"/>
    <w:rsid w:val="005F77DA"/>
    <w:rsid w:val="006001AB"/>
    <w:rsid w:val="0060075A"/>
    <w:rsid w:val="00602A6B"/>
    <w:rsid w:val="00602E82"/>
    <w:rsid w:val="00603FE5"/>
    <w:rsid w:val="006043D4"/>
    <w:rsid w:val="00605A3D"/>
    <w:rsid w:val="00610232"/>
    <w:rsid w:val="006118A6"/>
    <w:rsid w:val="00611D02"/>
    <w:rsid w:val="00615253"/>
    <w:rsid w:val="0061718A"/>
    <w:rsid w:val="006177F6"/>
    <w:rsid w:val="006179B0"/>
    <w:rsid w:val="00620A33"/>
    <w:rsid w:val="00621558"/>
    <w:rsid w:val="006218A0"/>
    <w:rsid w:val="0062192A"/>
    <w:rsid w:val="0062301A"/>
    <w:rsid w:val="00626039"/>
    <w:rsid w:val="006302BD"/>
    <w:rsid w:val="00634358"/>
    <w:rsid w:val="00634586"/>
    <w:rsid w:val="0063506C"/>
    <w:rsid w:val="0063541F"/>
    <w:rsid w:val="00635AAF"/>
    <w:rsid w:val="00637132"/>
    <w:rsid w:val="00637464"/>
    <w:rsid w:val="00637D93"/>
    <w:rsid w:val="00637DFE"/>
    <w:rsid w:val="006441CF"/>
    <w:rsid w:val="00644B10"/>
    <w:rsid w:val="0064571D"/>
    <w:rsid w:val="00647158"/>
    <w:rsid w:val="00650744"/>
    <w:rsid w:val="00656B87"/>
    <w:rsid w:val="00656D9B"/>
    <w:rsid w:val="00657A2E"/>
    <w:rsid w:val="006604C3"/>
    <w:rsid w:val="0066150E"/>
    <w:rsid w:val="00663474"/>
    <w:rsid w:val="00665881"/>
    <w:rsid w:val="00667CDC"/>
    <w:rsid w:val="00672751"/>
    <w:rsid w:val="006756B0"/>
    <w:rsid w:val="0067756F"/>
    <w:rsid w:val="00680099"/>
    <w:rsid w:val="00682D19"/>
    <w:rsid w:val="00685FBF"/>
    <w:rsid w:val="00686874"/>
    <w:rsid w:val="00686F52"/>
    <w:rsid w:val="0068733E"/>
    <w:rsid w:val="00695915"/>
    <w:rsid w:val="00695A57"/>
    <w:rsid w:val="00695E26"/>
    <w:rsid w:val="00695EC2"/>
    <w:rsid w:val="006A199E"/>
    <w:rsid w:val="006A21FC"/>
    <w:rsid w:val="006A3B00"/>
    <w:rsid w:val="006A4506"/>
    <w:rsid w:val="006A4CA3"/>
    <w:rsid w:val="006B214E"/>
    <w:rsid w:val="006B2E6B"/>
    <w:rsid w:val="006B304F"/>
    <w:rsid w:val="006B46C8"/>
    <w:rsid w:val="006B5FE0"/>
    <w:rsid w:val="006C0CF1"/>
    <w:rsid w:val="006C19DB"/>
    <w:rsid w:val="006C2612"/>
    <w:rsid w:val="006C4D79"/>
    <w:rsid w:val="006C508D"/>
    <w:rsid w:val="006C68CC"/>
    <w:rsid w:val="006D1F34"/>
    <w:rsid w:val="006D2444"/>
    <w:rsid w:val="006D2565"/>
    <w:rsid w:val="006D46DA"/>
    <w:rsid w:val="006D52CF"/>
    <w:rsid w:val="006D6AFC"/>
    <w:rsid w:val="006D782F"/>
    <w:rsid w:val="006D7ADE"/>
    <w:rsid w:val="006E0C75"/>
    <w:rsid w:val="006E4931"/>
    <w:rsid w:val="006E6F61"/>
    <w:rsid w:val="006F4040"/>
    <w:rsid w:val="00700C4B"/>
    <w:rsid w:val="007019CE"/>
    <w:rsid w:val="00701D3B"/>
    <w:rsid w:val="007028D7"/>
    <w:rsid w:val="00702ECF"/>
    <w:rsid w:val="00703D6E"/>
    <w:rsid w:val="0070710F"/>
    <w:rsid w:val="00707132"/>
    <w:rsid w:val="00710042"/>
    <w:rsid w:val="00710E3D"/>
    <w:rsid w:val="00712461"/>
    <w:rsid w:val="00721111"/>
    <w:rsid w:val="00721878"/>
    <w:rsid w:val="00723119"/>
    <w:rsid w:val="007231AC"/>
    <w:rsid w:val="00724C3B"/>
    <w:rsid w:val="00726323"/>
    <w:rsid w:val="007263A2"/>
    <w:rsid w:val="00727711"/>
    <w:rsid w:val="00731773"/>
    <w:rsid w:val="00732F01"/>
    <w:rsid w:val="00733644"/>
    <w:rsid w:val="00735014"/>
    <w:rsid w:val="00735F48"/>
    <w:rsid w:val="00737FCF"/>
    <w:rsid w:val="00740D9C"/>
    <w:rsid w:val="00741020"/>
    <w:rsid w:val="00744C41"/>
    <w:rsid w:val="007464F3"/>
    <w:rsid w:val="00747D67"/>
    <w:rsid w:val="00750D7E"/>
    <w:rsid w:val="00753261"/>
    <w:rsid w:val="00753919"/>
    <w:rsid w:val="00754C80"/>
    <w:rsid w:val="007561E9"/>
    <w:rsid w:val="00756E5D"/>
    <w:rsid w:val="00757E0B"/>
    <w:rsid w:val="00763600"/>
    <w:rsid w:val="00763A27"/>
    <w:rsid w:val="00763A3D"/>
    <w:rsid w:val="0076580B"/>
    <w:rsid w:val="007707B0"/>
    <w:rsid w:val="00770EF0"/>
    <w:rsid w:val="007719F3"/>
    <w:rsid w:val="007745CA"/>
    <w:rsid w:val="00775E42"/>
    <w:rsid w:val="00781805"/>
    <w:rsid w:val="00783525"/>
    <w:rsid w:val="007844BF"/>
    <w:rsid w:val="00784C3E"/>
    <w:rsid w:val="007855E7"/>
    <w:rsid w:val="00787DAE"/>
    <w:rsid w:val="00791537"/>
    <w:rsid w:val="00793CA5"/>
    <w:rsid w:val="00793DCA"/>
    <w:rsid w:val="00793E6F"/>
    <w:rsid w:val="00794B21"/>
    <w:rsid w:val="00794EB9"/>
    <w:rsid w:val="00795023"/>
    <w:rsid w:val="007953AD"/>
    <w:rsid w:val="007A031E"/>
    <w:rsid w:val="007A31E9"/>
    <w:rsid w:val="007A6905"/>
    <w:rsid w:val="007A6CB7"/>
    <w:rsid w:val="007A6D72"/>
    <w:rsid w:val="007B1457"/>
    <w:rsid w:val="007B14F5"/>
    <w:rsid w:val="007B1B51"/>
    <w:rsid w:val="007B404F"/>
    <w:rsid w:val="007C06B7"/>
    <w:rsid w:val="007C1190"/>
    <w:rsid w:val="007C3D04"/>
    <w:rsid w:val="007C77EE"/>
    <w:rsid w:val="007D1266"/>
    <w:rsid w:val="007D5D00"/>
    <w:rsid w:val="007D7525"/>
    <w:rsid w:val="007E1106"/>
    <w:rsid w:val="007E74C0"/>
    <w:rsid w:val="007F05E9"/>
    <w:rsid w:val="007F0FF5"/>
    <w:rsid w:val="007F15E2"/>
    <w:rsid w:val="007F214D"/>
    <w:rsid w:val="007F3130"/>
    <w:rsid w:val="007F6090"/>
    <w:rsid w:val="00802240"/>
    <w:rsid w:val="00802C73"/>
    <w:rsid w:val="00804FD6"/>
    <w:rsid w:val="0080613C"/>
    <w:rsid w:val="00807C9A"/>
    <w:rsid w:val="00814247"/>
    <w:rsid w:val="008149F9"/>
    <w:rsid w:val="00815066"/>
    <w:rsid w:val="00815E12"/>
    <w:rsid w:val="008172FF"/>
    <w:rsid w:val="00824FEF"/>
    <w:rsid w:val="008253B2"/>
    <w:rsid w:val="00827991"/>
    <w:rsid w:val="00827B02"/>
    <w:rsid w:val="00831A7B"/>
    <w:rsid w:val="00831ABF"/>
    <w:rsid w:val="00832B0D"/>
    <w:rsid w:val="00833228"/>
    <w:rsid w:val="00834C51"/>
    <w:rsid w:val="0083626E"/>
    <w:rsid w:val="00837E38"/>
    <w:rsid w:val="00841154"/>
    <w:rsid w:val="00842825"/>
    <w:rsid w:val="008437B7"/>
    <w:rsid w:val="00845ECA"/>
    <w:rsid w:val="008469C7"/>
    <w:rsid w:val="00846B9A"/>
    <w:rsid w:val="0085232C"/>
    <w:rsid w:val="00852DFF"/>
    <w:rsid w:val="00856578"/>
    <w:rsid w:val="0085688E"/>
    <w:rsid w:val="00856EE6"/>
    <w:rsid w:val="00857083"/>
    <w:rsid w:val="00860B18"/>
    <w:rsid w:val="0086356D"/>
    <w:rsid w:val="00870703"/>
    <w:rsid w:val="00870E1F"/>
    <w:rsid w:val="00872DC6"/>
    <w:rsid w:val="00872ED7"/>
    <w:rsid w:val="008744A6"/>
    <w:rsid w:val="00875AEA"/>
    <w:rsid w:val="008807C1"/>
    <w:rsid w:val="008823C4"/>
    <w:rsid w:val="0088241D"/>
    <w:rsid w:val="00883098"/>
    <w:rsid w:val="008844AF"/>
    <w:rsid w:val="0089025F"/>
    <w:rsid w:val="00892122"/>
    <w:rsid w:val="008929CB"/>
    <w:rsid w:val="00896788"/>
    <w:rsid w:val="00896B39"/>
    <w:rsid w:val="008976F0"/>
    <w:rsid w:val="008A0D82"/>
    <w:rsid w:val="008A14C4"/>
    <w:rsid w:val="008A2EB8"/>
    <w:rsid w:val="008A2FB9"/>
    <w:rsid w:val="008A3F39"/>
    <w:rsid w:val="008A4DA7"/>
    <w:rsid w:val="008A7BBF"/>
    <w:rsid w:val="008B0408"/>
    <w:rsid w:val="008B130D"/>
    <w:rsid w:val="008B1536"/>
    <w:rsid w:val="008C18A0"/>
    <w:rsid w:val="008C3C74"/>
    <w:rsid w:val="008C5571"/>
    <w:rsid w:val="008C628D"/>
    <w:rsid w:val="008C6498"/>
    <w:rsid w:val="008D1778"/>
    <w:rsid w:val="008D3058"/>
    <w:rsid w:val="008D3E89"/>
    <w:rsid w:val="008D5F6C"/>
    <w:rsid w:val="008D601D"/>
    <w:rsid w:val="008E12A1"/>
    <w:rsid w:val="008E2F27"/>
    <w:rsid w:val="008E3483"/>
    <w:rsid w:val="008E3B03"/>
    <w:rsid w:val="008E6711"/>
    <w:rsid w:val="008F261C"/>
    <w:rsid w:val="008F4787"/>
    <w:rsid w:val="008F4868"/>
    <w:rsid w:val="008F4A9E"/>
    <w:rsid w:val="008F6F57"/>
    <w:rsid w:val="008F707C"/>
    <w:rsid w:val="00901881"/>
    <w:rsid w:val="00903F5E"/>
    <w:rsid w:val="00904EEE"/>
    <w:rsid w:val="009111CA"/>
    <w:rsid w:val="009116E2"/>
    <w:rsid w:val="00911C36"/>
    <w:rsid w:val="00911DAF"/>
    <w:rsid w:val="00911E6F"/>
    <w:rsid w:val="00913875"/>
    <w:rsid w:val="00914644"/>
    <w:rsid w:val="00916E3E"/>
    <w:rsid w:val="00920474"/>
    <w:rsid w:val="0092569A"/>
    <w:rsid w:val="00925D4A"/>
    <w:rsid w:val="00934247"/>
    <w:rsid w:val="009344B1"/>
    <w:rsid w:val="009351BB"/>
    <w:rsid w:val="00935D13"/>
    <w:rsid w:val="009378D6"/>
    <w:rsid w:val="009378DE"/>
    <w:rsid w:val="00940E6C"/>
    <w:rsid w:val="00943190"/>
    <w:rsid w:val="00944087"/>
    <w:rsid w:val="00944C12"/>
    <w:rsid w:val="009454B6"/>
    <w:rsid w:val="00946FAE"/>
    <w:rsid w:val="00950BC0"/>
    <w:rsid w:val="00951AEC"/>
    <w:rsid w:val="00953C62"/>
    <w:rsid w:val="009541A1"/>
    <w:rsid w:val="00956EB1"/>
    <w:rsid w:val="009611BF"/>
    <w:rsid w:val="009644E1"/>
    <w:rsid w:val="0096667D"/>
    <w:rsid w:val="0096734E"/>
    <w:rsid w:val="00967D53"/>
    <w:rsid w:val="009723D8"/>
    <w:rsid w:val="00972C30"/>
    <w:rsid w:val="009734C1"/>
    <w:rsid w:val="00975121"/>
    <w:rsid w:val="00975C40"/>
    <w:rsid w:val="00976358"/>
    <w:rsid w:val="00977827"/>
    <w:rsid w:val="00980657"/>
    <w:rsid w:val="009811AB"/>
    <w:rsid w:val="0098202F"/>
    <w:rsid w:val="00984C01"/>
    <w:rsid w:val="00986496"/>
    <w:rsid w:val="009865F7"/>
    <w:rsid w:val="00986C3B"/>
    <w:rsid w:val="009914D0"/>
    <w:rsid w:val="009917ED"/>
    <w:rsid w:val="009933E0"/>
    <w:rsid w:val="009944D4"/>
    <w:rsid w:val="009967B8"/>
    <w:rsid w:val="009A076C"/>
    <w:rsid w:val="009A293C"/>
    <w:rsid w:val="009A48B0"/>
    <w:rsid w:val="009A4C4D"/>
    <w:rsid w:val="009A51A6"/>
    <w:rsid w:val="009A5829"/>
    <w:rsid w:val="009A640D"/>
    <w:rsid w:val="009A6561"/>
    <w:rsid w:val="009A690F"/>
    <w:rsid w:val="009B4C50"/>
    <w:rsid w:val="009B54B3"/>
    <w:rsid w:val="009B5B7C"/>
    <w:rsid w:val="009C05F1"/>
    <w:rsid w:val="009C0D5E"/>
    <w:rsid w:val="009C18E0"/>
    <w:rsid w:val="009C397C"/>
    <w:rsid w:val="009C3DDE"/>
    <w:rsid w:val="009C45E5"/>
    <w:rsid w:val="009C4934"/>
    <w:rsid w:val="009C534F"/>
    <w:rsid w:val="009C5F9E"/>
    <w:rsid w:val="009C6285"/>
    <w:rsid w:val="009C6A0A"/>
    <w:rsid w:val="009C6C1E"/>
    <w:rsid w:val="009C7984"/>
    <w:rsid w:val="009D037E"/>
    <w:rsid w:val="009D12EF"/>
    <w:rsid w:val="009D2D64"/>
    <w:rsid w:val="009D2E77"/>
    <w:rsid w:val="009D3F35"/>
    <w:rsid w:val="009D435C"/>
    <w:rsid w:val="009D5164"/>
    <w:rsid w:val="009D547C"/>
    <w:rsid w:val="009E1096"/>
    <w:rsid w:val="009E1FBB"/>
    <w:rsid w:val="009E2780"/>
    <w:rsid w:val="009E3FEA"/>
    <w:rsid w:val="009E51F4"/>
    <w:rsid w:val="009E5B70"/>
    <w:rsid w:val="009E5FCB"/>
    <w:rsid w:val="009F43ED"/>
    <w:rsid w:val="009F6E4C"/>
    <w:rsid w:val="009F6EA2"/>
    <w:rsid w:val="009F79E9"/>
    <w:rsid w:val="00A00CEE"/>
    <w:rsid w:val="00A00F4D"/>
    <w:rsid w:val="00A0535D"/>
    <w:rsid w:val="00A071DE"/>
    <w:rsid w:val="00A07971"/>
    <w:rsid w:val="00A11EAE"/>
    <w:rsid w:val="00A16354"/>
    <w:rsid w:val="00A20A0B"/>
    <w:rsid w:val="00A20D1A"/>
    <w:rsid w:val="00A211EF"/>
    <w:rsid w:val="00A221BE"/>
    <w:rsid w:val="00A23351"/>
    <w:rsid w:val="00A24420"/>
    <w:rsid w:val="00A2621D"/>
    <w:rsid w:val="00A263E5"/>
    <w:rsid w:val="00A26D55"/>
    <w:rsid w:val="00A3027D"/>
    <w:rsid w:val="00A313B8"/>
    <w:rsid w:val="00A355B7"/>
    <w:rsid w:val="00A3714F"/>
    <w:rsid w:val="00A408CF"/>
    <w:rsid w:val="00A4282E"/>
    <w:rsid w:val="00A43060"/>
    <w:rsid w:val="00A43B10"/>
    <w:rsid w:val="00A45342"/>
    <w:rsid w:val="00A52FFD"/>
    <w:rsid w:val="00A536E9"/>
    <w:rsid w:val="00A56319"/>
    <w:rsid w:val="00A5704C"/>
    <w:rsid w:val="00A57218"/>
    <w:rsid w:val="00A57FCC"/>
    <w:rsid w:val="00A605BA"/>
    <w:rsid w:val="00A63694"/>
    <w:rsid w:val="00A65780"/>
    <w:rsid w:val="00A67254"/>
    <w:rsid w:val="00A70710"/>
    <w:rsid w:val="00A719E1"/>
    <w:rsid w:val="00A721A3"/>
    <w:rsid w:val="00A72EDB"/>
    <w:rsid w:val="00A73A3F"/>
    <w:rsid w:val="00A73A58"/>
    <w:rsid w:val="00A742AD"/>
    <w:rsid w:val="00A76482"/>
    <w:rsid w:val="00A76F0E"/>
    <w:rsid w:val="00A80579"/>
    <w:rsid w:val="00A83651"/>
    <w:rsid w:val="00A84778"/>
    <w:rsid w:val="00A84DD1"/>
    <w:rsid w:val="00A9230D"/>
    <w:rsid w:val="00A926A8"/>
    <w:rsid w:val="00A94C83"/>
    <w:rsid w:val="00A957E7"/>
    <w:rsid w:val="00AA2274"/>
    <w:rsid w:val="00AB3FA1"/>
    <w:rsid w:val="00AB4FAB"/>
    <w:rsid w:val="00AB6E46"/>
    <w:rsid w:val="00AC0600"/>
    <w:rsid w:val="00AC07C3"/>
    <w:rsid w:val="00AC1BB1"/>
    <w:rsid w:val="00AC431F"/>
    <w:rsid w:val="00AC483D"/>
    <w:rsid w:val="00AC4B4E"/>
    <w:rsid w:val="00AC6C17"/>
    <w:rsid w:val="00AC71EF"/>
    <w:rsid w:val="00AC7C86"/>
    <w:rsid w:val="00AC7DDB"/>
    <w:rsid w:val="00AD07A0"/>
    <w:rsid w:val="00AD43A8"/>
    <w:rsid w:val="00AD518C"/>
    <w:rsid w:val="00AD51A6"/>
    <w:rsid w:val="00AE3273"/>
    <w:rsid w:val="00AE3811"/>
    <w:rsid w:val="00AE3D80"/>
    <w:rsid w:val="00AE4371"/>
    <w:rsid w:val="00AE4C50"/>
    <w:rsid w:val="00AE51BA"/>
    <w:rsid w:val="00AE74BF"/>
    <w:rsid w:val="00AE79A8"/>
    <w:rsid w:val="00AE79AA"/>
    <w:rsid w:val="00AE7A2F"/>
    <w:rsid w:val="00AE7F0E"/>
    <w:rsid w:val="00AF1B7E"/>
    <w:rsid w:val="00AF6D98"/>
    <w:rsid w:val="00AF7A81"/>
    <w:rsid w:val="00AF7D3F"/>
    <w:rsid w:val="00AF7D5E"/>
    <w:rsid w:val="00B00016"/>
    <w:rsid w:val="00B001EC"/>
    <w:rsid w:val="00B01BBC"/>
    <w:rsid w:val="00B02131"/>
    <w:rsid w:val="00B034BD"/>
    <w:rsid w:val="00B03C80"/>
    <w:rsid w:val="00B055DC"/>
    <w:rsid w:val="00B060F3"/>
    <w:rsid w:val="00B105FE"/>
    <w:rsid w:val="00B127DC"/>
    <w:rsid w:val="00B246CC"/>
    <w:rsid w:val="00B253F4"/>
    <w:rsid w:val="00B2573B"/>
    <w:rsid w:val="00B26F78"/>
    <w:rsid w:val="00B27FFA"/>
    <w:rsid w:val="00B3043C"/>
    <w:rsid w:val="00B329B2"/>
    <w:rsid w:val="00B3421A"/>
    <w:rsid w:val="00B40F7C"/>
    <w:rsid w:val="00B414BF"/>
    <w:rsid w:val="00B42F50"/>
    <w:rsid w:val="00B44347"/>
    <w:rsid w:val="00B47004"/>
    <w:rsid w:val="00B476C0"/>
    <w:rsid w:val="00B52221"/>
    <w:rsid w:val="00B52770"/>
    <w:rsid w:val="00B53AC2"/>
    <w:rsid w:val="00B53C34"/>
    <w:rsid w:val="00B542DB"/>
    <w:rsid w:val="00B572A8"/>
    <w:rsid w:val="00B57895"/>
    <w:rsid w:val="00B60002"/>
    <w:rsid w:val="00B60291"/>
    <w:rsid w:val="00B62108"/>
    <w:rsid w:val="00B63FB8"/>
    <w:rsid w:val="00B641D2"/>
    <w:rsid w:val="00B649F3"/>
    <w:rsid w:val="00B7213C"/>
    <w:rsid w:val="00B73F0B"/>
    <w:rsid w:val="00B7423F"/>
    <w:rsid w:val="00B8075F"/>
    <w:rsid w:val="00B8321C"/>
    <w:rsid w:val="00B84B04"/>
    <w:rsid w:val="00B85697"/>
    <w:rsid w:val="00B9049A"/>
    <w:rsid w:val="00B920F9"/>
    <w:rsid w:val="00B93A2A"/>
    <w:rsid w:val="00B93CD6"/>
    <w:rsid w:val="00B95756"/>
    <w:rsid w:val="00B95E18"/>
    <w:rsid w:val="00B972E9"/>
    <w:rsid w:val="00BA0122"/>
    <w:rsid w:val="00BA0C35"/>
    <w:rsid w:val="00BA1539"/>
    <w:rsid w:val="00BA17B9"/>
    <w:rsid w:val="00BA53D6"/>
    <w:rsid w:val="00BA6A93"/>
    <w:rsid w:val="00BA6EC8"/>
    <w:rsid w:val="00BB2304"/>
    <w:rsid w:val="00BB2E07"/>
    <w:rsid w:val="00BC049B"/>
    <w:rsid w:val="00BC51B9"/>
    <w:rsid w:val="00BC52CE"/>
    <w:rsid w:val="00BC64FD"/>
    <w:rsid w:val="00BD0B19"/>
    <w:rsid w:val="00BD2AD5"/>
    <w:rsid w:val="00BD3200"/>
    <w:rsid w:val="00BD4371"/>
    <w:rsid w:val="00BD5B71"/>
    <w:rsid w:val="00BD635C"/>
    <w:rsid w:val="00BE07C0"/>
    <w:rsid w:val="00BE1CAB"/>
    <w:rsid w:val="00BE2251"/>
    <w:rsid w:val="00BE30FC"/>
    <w:rsid w:val="00BE35AF"/>
    <w:rsid w:val="00BE5D95"/>
    <w:rsid w:val="00BE7D45"/>
    <w:rsid w:val="00BF0825"/>
    <w:rsid w:val="00BF16FB"/>
    <w:rsid w:val="00BF3550"/>
    <w:rsid w:val="00BF385B"/>
    <w:rsid w:val="00BF569F"/>
    <w:rsid w:val="00BF7EEE"/>
    <w:rsid w:val="00C00D78"/>
    <w:rsid w:val="00C01331"/>
    <w:rsid w:val="00C02160"/>
    <w:rsid w:val="00C040BC"/>
    <w:rsid w:val="00C057A1"/>
    <w:rsid w:val="00C06DA2"/>
    <w:rsid w:val="00C071B7"/>
    <w:rsid w:val="00C07E6A"/>
    <w:rsid w:val="00C10F16"/>
    <w:rsid w:val="00C11F3F"/>
    <w:rsid w:val="00C13154"/>
    <w:rsid w:val="00C13835"/>
    <w:rsid w:val="00C141FE"/>
    <w:rsid w:val="00C146D9"/>
    <w:rsid w:val="00C164A3"/>
    <w:rsid w:val="00C1770F"/>
    <w:rsid w:val="00C17A26"/>
    <w:rsid w:val="00C22C4C"/>
    <w:rsid w:val="00C2301D"/>
    <w:rsid w:val="00C24874"/>
    <w:rsid w:val="00C27426"/>
    <w:rsid w:val="00C320B0"/>
    <w:rsid w:val="00C323E0"/>
    <w:rsid w:val="00C32807"/>
    <w:rsid w:val="00C35E5A"/>
    <w:rsid w:val="00C364BA"/>
    <w:rsid w:val="00C43FB2"/>
    <w:rsid w:val="00C4633A"/>
    <w:rsid w:val="00C525F1"/>
    <w:rsid w:val="00C536B1"/>
    <w:rsid w:val="00C5477D"/>
    <w:rsid w:val="00C566BE"/>
    <w:rsid w:val="00C61CC3"/>
    <w:rsid w:val="00C66CA3"/>
    <w:rsid w:val="00C7613F"/>
    <w:rsid w:val="00C76909"/>
    <w:rsid w:val="00C82C76"/>
    <w:rsid w:val="00C82CA1"/>
    <w:rsid w:val="00C84E73"/>
    <w:rsid w:val="00C86B90"/>
    <w:rsid w:val="00C90D45"/>
    <w:rsid w:val="00C9208A"/>
    <w:rsid w:val="00C94D52"/>
    <w:rsid w:val="00CA11B3"/>
    <w:rsid w:val="00CA1530"/>
    <w:rsid w:val="00CA20A7"/>
    <w:rsid w:val="00CA282E"/>
    <w:rsid w:val="00CA3633"/>
    <w:rsid w:val="00CA60B1"/>
    <w:rsid w:val="00CA6DE2"/>
    <w:rsid w:val="00CB1412"/>
    <w:rsid w:val="00CB1A25"/>
    <w:rsid w:val="00CB1A81"/>
    <w:rsid w:val="00CB1B5C"/>
    <w:rsid w:val="00CB241C"/>
    <w:rsid w:val="00CB2C95"/>
    <w:rsid w:val="00CB34D1"/>
    <w:rsid w:val="00CB381D"/>
    <w:rsid w:val="00CB390D"/>
    <w:rsid w:val="00CB60E3"/>
    <w:rsid w:val="00CB71A4"/>
    <w:rsid w:val="00CB7B4D"/>
    <w:rsid w:val="00CC1243"/>
    <w:rsid w:val="00CC570E"/>
    <w:rsid w:val="00CC5A10"/>
    <w:rsid w:val="00CC5B51"/>
    <w:rsid w:val="00CD2DD8"/>
    <w:rsid w:val="00CD6F14"/>
    <w:rsid w:val="00CD7C84"/>
    <w:rsid w:val="00CE01AB"/>
    <w:rsid w:val="00CE2010"/>
    <w:rsid w:val="00CE6713"/>
    <w:rsid w:val="00CE7530"/>
    <w:rsid w:val="00CE768F"/>
    <w:rsid w:val="00CF04E7"/>
    <w:rsid w:val="00CF06C3"/>
    <w:rsid w:val="00CF2302"/>
    <w:rsid w:val="00CF37BB"/>
    <w:rsid w:val="00CF45D2"/>
    <w:rsid w:val="00CF6FF3"/>
    <w:rsid w:val="00D0087E"/>
    <w:rsid w:val="00D01F8C"/>
    <w:rsid w:val="00D03167"/>
    <w:rsid w:val="00D035FD"/>
    <w:rsid w:val="00D04591"/>
    <w:rsid w:val="00D0466B"/>
    <w:rsid w:val="00D055F8"/>
    <w:rsid w:val="00D10DD5"/>
    <w:rsid w:val="00D127D3"/>
    <w:rsid w:val="00D136FD"/>
    <w:rsid w:val="00D15727"/>
    <w:rsid w:val="00D173E0"/>
    <w:rsid w:val="00D223A3"/>
    <w:rsid w:val="00D239FB"/>
    <w:rsid w:val="00D2757C"/>
    <w:rsid w:val="00D2774B"/>
    <w:rsid w:val="00D308C4"/>
    <w:rsid w:val="00D324D5"/>
    <w:rsid w:val="00D33265"/>
    <w:rsid w:val="00D33AA8"/>
    <w:rsid w:val="00D34E3A"/>
    <w:rsid w:val="00D36B1A"/>
    <w:rsid w:val="00D413A8"/>
    <w:rsid w:val="00D41B5B"/>
    <w:rsid w:val="00D41EA4"/>
    <w:rsid w:val="00D4449B"/>
    <w:rsid w:val="00D4485B"/>
    <w:rsid w:val="00D44A97"/>
    <w:rsid w:val="00D5024A"/>
    <w:rsid w:val="00D507C2"/>
    <w:rsid w:val="00D5247E"/>
    <w:rsid w:val="00D5375E"/>
    <w:rsid w:val="00D53AA0"/>
    <w:rsid w:val="00D5446D"/>
    <w:rsid w:val="00D54ED0"/>
    <w:rsid w:val="00D56F17"/>
    <w:rsid w:val="00D63DF6"/>
    <w:rsid w:val="00D63E74"/>
    <w:rsid w:val="00D645CF"/>
    <w:rsid w:val="00D66686"/>
    <w:rsid w:val="00D673AF"/>
    <w:rsid w:val="00D702C6"/>
    <w:rsid w:val="00D71C74"/>
    <w:rsid w:val="00D7294B"/>
    <w:rsid w:val="00D72C59"/>
    <w:rsid w:val="00D732A8"/>
    <w:rsid w:val="00D73367"/>
    <w:rsid w:val="00D75BB0"/>
    <w:rsid w:val="00D7612B"/>
    <w:rsid w:val="00D76A58"/>
    <w:rsid w:val="00D77998"/>
    <w:rsid w:val="00D8160E"/>
    <w:rsid w:val="00D82B53"/>
    <w:rsid w:val="00D83179"/>
    <w:rsid w:val="00D83490"/>
    <w:rsid w:val="00D836D0"/>
    <w:rsid w:val="00D8382F"/>
    <w:rsid w:val="00D83CC2"/>
    <w:rsid w:val="00D847D1"/>
    <w:rsid w:val="00D84E74"/>
    <w:rsid w:val="00D85501"/>
    <w:rsid w:val="00D90CC6"/>
    <w:rsid w:val="00D92446"/>
    <w:rsid w:val="00D92B49"/>
    <w:rsid w:val="00D97293"/>
    <w:rsid w:val="00DA3127"/>
    <w:rsid w:val="00DA33AD"/>
    <w:rsid w:val="00DA3DD7"/>
    <w:rsid w:val="00DA49B0"/>
    <w:rsid w:val="00DA4C4C"/>
    <w:rsid w:val="00DA66C8"/>
    <w:rsid w:val="00DA6858"/>
    <w:rsid w:val="00DA6CA0"/>
    <w:rsid w:val="00DA7E4A"/>
    <w:rsid w:val="00DB0903"/>
    <w:rsid w:val="00DB3BBE"/>
    <w:rsid w:val="00DB4D05"/>
    <w:rsid w:val="00DB5CE3"/>
    <w:rsid w:val="00DC4A8F"/>
    <w:rsid w:val="00DC553E"/>
    <w:rsid w:val="00DC590C"/>
    <w:rsid w:val="00DC5A84"/>
    <w:rsid w:val="00DD058D"/>
    <w:rsid w:val="00DD2F6D"/>
    <w:rsid w:val="00DD378A"/>
    <w:rsid w:val="00DD7C37"/>
    <w:rsid w:val="00DE0DE6"/>
    <w:rsid w:val="00DE2A55"/>
    <w:rsid w:val="00DE58E0"/>
    <w:rsid w:val="00DE774B"/>
    <w:rsid w:val="00DF057E"/>
    <w:rsid w:val="00DF14D0"/>
    <w:rsid w:val="00DF292F"/>
    <w:rsid w:val="00DF375E"/>
    <w:rsid w:val="00DF68B4"/>
    <w:rsid w:val="00DF6981"/>
    <w:rsid w:val="00E00127"/>
    <w:rsid w:val="00E01EE6"/>
    <w:rsid w:val="00E02C5B"/>
    <w:rsid w:val="00E02E66"/>
    <w:rsid w:val="00E03647"/>
    <w:rsid w:val="00E03B3F"/>
    <w:rsid w:val="00E03BEE"/>
    <w:rsid w:val="00E05BEC"/>
    <w:rsid w:val="00E05FD4"/>
    <w:rsid w:val="00E100E3"/>
    <w:rsid w:val="00E11E31"/>
    <w:rsid w:val="00E1428D"/>
    <w:rsid w:val="00E14B64"/>
    <w:rsid w:val="00E15AA1"/>
    <w:rsid w:val="00E213B6"/>
    <w:rsid w:val="00E23B97"/>
    <w:rsid w:val="00E32A9C"/>
    <w:rsid w:val="00E334E8"/>
    <w:rsid w:val="00E33790"/>
    <w:rsid w:val="00E37EB2"/>
    <w:rsid w:val="00E40628"/>
    <w:rsid w:val="00E40AAD"/>
    <w:rsid w:val="00E412D8"/>
    <w:rsid w:val="00E41E59"/>
    <w:rsid w:val="00E4292F"/>
    <w:rsid w:val="00E43812"/>
    <w:rsid w:val="00E44601"/>
    <w:rsid w:val="00E44C83"/>
    <w:rsid w:val="00E52D0A"/>
    <w:rsid w:val="00E53843"/>
    <w:rsid w:val="00E561FB"/>
    <w:rsid w:val="00E577EF"/>
    <w:rsid w:val="00E612C2"/>
    <w:rsid w:val="00E625AE"/>
    <w:rsid w:val="00E6273C"/>
    <w:rsid w:val="00E65B87"/>
    <w:rsid w:val="00E668AC"/>
    <w:rsid w:val="00E70A49"/>
    <w:rsid w:val="00E72A11"/>
    <w:rsid w:val="00E752EF"/>
    <w:rsid w:val="00E75632"/>
    <w:rsid w:val="00E76C6B"/>
    <w:rsid w:val="00E772EA"/>
    <w:rsid w:val="00E8128B"/>
    <w:rsid w:val="00E82ACD"/>
    <w:rsid w:val="00E878E1"/>
    <w:rsid w:val="00E87939"/>
    <w:rsid w:val="00E87C11"/>
    <w:rsid w:val="00E87F80"/>
    <w:rsid w:val="00E90B20"/>
    <w:rsid w:val="00E92E34"/>
    <w:rsid w:val="00E9303D"/>
    <w:rsid w:val="00E94228"/>
    <w:rsid w:val="00E960E1"/>
    <w:rsid w:val="00EA045E"/>
    <w:rsid w:val="00EA1140"/>
    <w:rsid w:val="00EA1863"/>
    <w:rsid w:val="00EA3174"/>
    <w:rsid w:val="00EA439E"/>
    <w:rsid w:val="00EB1406"/>
    <w:rsid w:val="00EB2DC7"/>
    <w:rsid w:val="00EB332F"/>
    <w:rsid w:val="00EB422A"/>
    <w:rsid w:val="00EB4B8A"/>
    <w:rsid w:val="00EB6A3E"/>
    <w:rsid w:val="00EC0297"/>
    <w:rsid w:val="00EC079F"/>
    <w:rsid w:val="00EC2534"/>
    <w:rsid w:val="00EC3BC6"/>
    <w:rsid w:val="00EC53AA"/>
    <w:rsid w:val="00EC698D"/>
    <w:rsid w:val="00ED06A8"/>
    <w:rsid w:val="00ED13C5"/>
    <w:rsid w:val="00ED2547"/>
    <w:rsid w:val="00ED528F"/>
    <w:rsid w:val="00ED5FAB"/>
    <w:rsid w:val="00ED64AF"/>
    <w:rsid w:val="00EE0F4E"/>
    <w:rsid w:val="00EE46C2"/>
    <w:rsid w:val="00EF01C6"/>
    <w:rsid w:val="00EF0E9A"/>
    <w:rsid w:val="00EF19D1"/>
    <w:rsid w:val="00EF1B35"/>
    <w:rsid w:val="00EF1BBE"/>
    <w:rsid w:val="00EF1F17"/>
    <w:rsid w:val="00EF358C"/>
    <w:rsid w:val="00EF5E6D"/>
    <w:rsid w:val="00EF5EC7"/>
    <w:rsid w:val="00F02A5B"/>
    <w:rsid w:val="00F03FF8"/>
    <w:rsid w:val="00F0464C"/>
    <w:rsid w:val="00F049F3"/>
    <w:rsid w:val="00F07B9C"/>
    <w:rsid w:val="00F16400"/>
    <w:rsid w:val="00F16A5B"/>
    <w:rsid w:val="00F17B1C"/>
    <w:rsid w:val="00F20447"/>
    <w:rsid w:val="00F20A24"/>
    <w:rsid w:val="00F20A6E"/>
    <w:rsid w:val="00F21A01"/>
    <w:rsid w:val="00F224F6"/>
    <w:rsid w:val="00F22C7E"/>
    <w:rsid w:val="00F233EF"/>
    <w:rsid w:val="00F24EA1"/>
    <w:rsid w:val="00F25D96"/>
    <w:rsid w:val="00F260AC"/>
    <w:rsid w:val="00F260F9"/>
    <w:rsid w:val="00F26359"/>
    <w:rsid w:val="00F279FB"/>
    <w:rsid w:val="00F30163"/>
    <w:rsid w:val="00F30805"/>
    <w:rsid w:val="00F30E08"/>
    <w:rsid w:val="00F326BA"/>
    <w:rsid w:val="00F351EC"/>
    <w:rsid w:val="00F35643"/>
    <w:rsid w:val="00F375A9"/>
    <w:rsid w:val="00F40750"/>
    <w:rsid w:val="00F41C59"/>
    <w:rsid w:val="00F45D48"/>
    <w:rsid w:val="00F4784A"/>
    <w:rsid w:val="00F516C3"/>
    <w:rsid w:val="00F52C50"/>
    <w:rsid w:val="00F532DF"/>
    <w:rsid w:val="00F547FD"/>
    <w:rsid w:val="00F54FB2"/>
    <w:rsid w:val="00F55532"/>
    <w:rsid w:val="00F5635A"/>
    <w:rsid w:val="00F60D58"/>
    <w:rsid w:val="00F61961"/>
    <w:rsid w:val="00F62FA7"/>
    <w:rsid w:val="00F638BC"/>
    <w:rsid w:val="00F63BD5"/>
    <w:rsid w:val="00F65BE3"/>
    <w:rsid w:val="00F65EA3"/>
    <w:rsid w:val="00F66605"/>
    <w:rsid w:val="00F66771"/>
    <w:rsid w:val="00F700F8"/>
    <w:rsid w:val="00F70875"/>
    <w:rsid w:val="00F72D76"/>
    <w:rsid w:val="00F72E00"/>
    <w:rsid w:val="00F73D42"/>
    <w:rsid w:val="00F7657D"/>
    <w:rsid w:val="00F76663"/>
    <w:rsid w:val="00F77E9C"/>
    <w:rsid w:val="00F836A2"/>
    <w:rsid w:val="00F84917"/>
    <w:rsid w:val="00F85F48"/>
    <w:rsid w:val="00F86384"/>
    <w:rsid w:val="00F86822"/>
    <w:rsid w:val="00F913CB"/>
    <w:rsid w:val="00F951AA"/>
    <w:rsid w:val="00F95554"/>
    <w:rsid w:val="00FA1569"/>
    <w:rsid w:val="00FA1EC2"/>
    <w:rsid w:val="00FA2910"/>
    <w:rsid w:val="00FA4076"/>
    <w:rsid w:val="00FA4C63"/>
    <w:rsid w:val="00FA6556"/>
    <w:rsid w:val="00FB0874"/>
    <w:rsid w:val="00FB2029"/>
    <w:rsid w:val="00FB2D6D"/>
    <w:rsid w:val="00FB35AE"/>
    <w:rsid w:val="00FB3AAB"/>
    <w:rsid w:val="00FC0C98"/>
    <w:rsid w:val="00FC1D7E"/>
    <w:rsid w:val="00FC1DC3"/>
    <w:rsid w:val="00FC4836"/>
    <w:rsid w:val="00FD369B"/>
    <w:rsid w:val="00FD5394"/>
    <w:rsid w:val="00FD58D5"/>
    <w:rsid w:val="00FD5EA2"/>
    <w:rsid w:val="00FD78E5"/>
    <w:rsid w:val="00FE02E3"/>
    <w:rsid w:val="00FE2BC0"/>
    <w:rsid w:val="00FE68CB"/>
    <w:rsid w:val="00FE780A"/>
    <w:rsid w:val="00FF0B49"/>
    <w:rsid w:val="00FF1A11"/>
    <w:rsid w:val="00FF1C85"/>
    <w:rsid w:val="00FF1F1F"/>
    <w:rsid w:val="00FF21E5"/>
    <w:rsid w:val="00FF2634"/>
    <w:rsid w:val="00FF75B0"/>
    <w:rsid w:val="00FF7C6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F43A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E44C83"/>
    <w:rPr>
      <w:rFonts w:eastAsiaTheme="minorEastAsia"/>
      <w:lang w:val="en-US"/>
    </w:rPr>
  </w:style>
  <w:style w:type="paragraph" w:styleId="Kop1">
    <w:name w:val="heading 1"/>
    <w:basedOn w:val="Normaal"/>
    <w:next w:val="Normaal"/>
    <w:link w:val="Kop1Teken"/>
    <w:uiPriority w:val="9"/>
    <w:qFormat/>
    <w:rsid w:val="00105AF4"/>
    <w:pPr>
      <w:keepNext/>
      <w:keepLines/>
      <w:spacing w:before="480"/>
      <w:outlineLvl w:val="0"/>
    </w:pPr>
    <w:rPr>
      <w:rFonts w:asciiTheme="majorHAnsi" w:eastAsiaTheme="majorEastAsia" w:hAnsiTheme="majorHAnsi" w:cstheme="majorBidi"/>
      <w:b/>
      <w:bCs/>
      <w:color w:val="2C6EAB" w:themeColor="accent1" w:themeShade="B5"/>
      <w:sz w:val="32"/>
      <w:szCs w:val="32"/>
    </w:rPr>
  </w:style>
  <w:style w:type="paragraph" w:styleId="Kop2">
    <w:name w:val="heading 2"/>
    <w:basedOn w:val="Normaal"/>
    <w:next w:val="Normaal"/>
    <w:link w:val="Kop2Teken"/>
    <w:uiPriority w:val="9"/>
    <w:semiHidden/>
    <w:unhideWhenUsed/>
    <w:qFormat/>
    <w:rsid w:val="00105AF4"/>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Kop3">
    <w:name w:val="heading 3"/>
    <w:basedOn w:val="Normaal"/>
    <w:next w:val="Normaal"/>
    <w:link w:val="Kop3Teken"/>
    <w:uiPriority w:val="9"/>
    <w:semiHidden/>
    <w:unhideWhenUsed/>
    <w:qFormat/>
    <w:rsid w:val="00105AF4"/>
    <w:pPr>
      <w:keepNext/>
      <w:keepLines/>
      <w:spacing w:before="200"/>
      <w:outlineLvl w:val="2"/>
    </w:pPr>
    <w:rPr>
      <w:rFonts w:asciiTheme="majorHAnsi" w:eastAsiaTheme="majorEastAsia" w:hAnsiTheme="majorHAnsi" w:cstheme="majorBidi"/>
      <w:b/>
      <w:bCs/>
      <w:color w:val="5B9BD5" w:themeColor="accent1"/>
    </w:rPr>
  </w:style>
  <w:style w:type="paragraph" w:styleId="Kop4">
    <w:name w:val="heading 4"/>
    <w:basedOn w:val="Normaal"/>
    <w:link w:val="Kop4Teken"/>
    <w:uiPriority w:val="9"/>
    <w:qFormat/>
    <w:rsid w:val="00D4485B"/>
    <w:pPr>
      <w:spacing w:before="100" w:beforeAutospacing="1" w:after="100" w:afterAutospacing="1"/>
      <w:outlineLvl w:val="3"/>
    </w:pPr>
    <w:rPr>
      <w:rFonts w:ascii="Times" w:eastAsiaTheme="minorHAnsi" w:hAnsi="Times"/>
      <w:b/>
      <w:bCs/>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1B4566"/>
    <w:pPr>
      <w:pBdr>
        <w:top w:val="nil"/>
        <w:left w:val="nil"/>
        <w:bottom w:val="nil"/>
        <w:right w:val="nil"/>
        <w:between w:val="nil"/>
        <w:bar w:val="nil"/>
      </w:pBdr>
      <w:suppressAutoHyphens/>
    </w:pPr>
    <w:rPr>
      <w:rFonts w:ascii="Times New Roman" w:eastAsia="Arial Unicode MS" w:hAnsi="Arial Unicode MS" w:cs="Arial Unicode MS"/>
      <w:color w:val="000000"/>
      <w:kern w:val="1"/>
      <w:u w:color="000000"/>
      <w:bdr w:val="nil"/>
      <w:lang w:val="en-US"/>
    </w:rPr>
  </w:style>
  <w:style w:type="paragraph" w:styleId="Tekstopmerking">
    <w:name w:val="annotation text"/>
    <w:basedOn w:val="Normaal"/>
    <w:link w:val="TekstopmerkingTeken"/>
    <w:uiPriority w:val="99"/>
    <w:unhideWhenUsed/>
    <w:rsid w:val="001B4566"/>
    <w:pPr>
      <w:pBdr>
        <w:top w:val="nil"/>
        <w:left w:val="nil"/>
        <w:bottom w:val="nil"/>
        <w:right w:val="nil"/>
        <w:between w:val="nil"/>
        <w:bar w:val="nil"/>
      </w:pBdr>
      <w:suppressAutoHyphens/>
    </w:pPr>
    <w:rPr>
      <w:rFonts w:ascii="Times New Roman" w:eastAsia="Arial Unicode MS" w:hAnsi="Arial Unicode MS" w:cs="Arial Unicode MS"/>
      <w:color w:val="000000"/>
      <w:kern w:val="1"/>
      <w:sz w:val="20"/>
      <w:szCs w:val="20"/>
      <w:u w:color="000000"/>
      <w:bdr w:val="nil"/>
    </w:rPr>
  </w:style>
  <w:style w:type="character" w:customStyle="1" w:styleId="TekstopmerkingTeken">
    <w:name w:val="Tekst opmerking Teken"/>
    <w:basedOn w:val="Standaardalinea-lettertype"/>
    <w:link w:val="Tekstopmerking"/>
    <w:uiPriority w:val="99"/>
    <w:rsid w:val="001B4566"/>
    <w:rPr>
      <w:rFonts w:ascii="Times New Roman" w:eastAsia="Arial Unicode MS" w:hAnsi="Arial Unicode MS" w:cs="Arial Unicode MS"/>
      <w:color w:val="000000"/>
      <w:kern w:val="1"/>
      <w:sz w:val="20"/>
      <w:szCs w:val="20"/>
      <w:u w:color="000000"/>
      <w:bdr w:val="nil"/>
      <w:lang w:val="en-US"/>
    </w:rPr>
  </w:style>
  <w:style w:type="paragraph" w:styleId="Voettekst">
    <w:name w:val="footer"/>
    <w:basedOn w:val="Normaal"/>
    <w:link w:val="VoettekstTeken"/>
    <w:uiPriority w:val="99"/>
    <w:unhideWhenUsed/>
    <w:rsid w:val="00305BD8"/>
    <w:pPr>
      <w:tabs>
        <w:tab w:val="center" w:pos="4513"/>
        <w:tab w:val="right" w:pos="9026"/>
      </w:tabs>
    </w:pPr>
  </w:style>
  <w:style w:type="character" w:customStyle="1" w:styleId="VoettekstTeken">
    <w:name w:val="Voettekst Teken"/>
    <w:basedOn w:val="Standaardalinea-lettertype"/>
    <w:link w:val="Voettekst"/>
    <w:uiPriority w:val="99"/>
    <w:rsid w:val="00305BD8"/>
    <w:rPr>
      <w:rFonts w:eastAsiaTheme="minorEastAsia"/>
      <w:lang w:val="en-US"/>
    </w:rPr>
  </w:style>
  <w:style w:type="character" w:styleId="Paginanummer">
    <w:name w:val="page number"/>
    <w:basedOn w:val="Standaardalinea-lettertype"/>
    <w:uiPriority w:val="99"/>
    <w:semiHidden/>
    <w:unhideWhenUsed/>
    <w:rsid w:val="00305BD8"/>
  </w:style>
  <w:style w:type="character" w:styleId="Verwijzingopmerking">
    <w:name w:val="annotation reference"/>
    <w:basedOn w:val="Standaardalinea-lettertype"/>
    <w:uiPriority w:val="99"/>
    <w:semiHidden/>
    <w:unhideWhenUsed/>
    <w:rsid w:val="00013FE3"/>
    <w:rPr>
      <w:sz w:val="16"/>
      <w:szCs w:val="16"/>
    </w:rPr>
  </w:style>
  <w:style w:type="paragraph" w:styleId="Onderwerpvanopmerking">
    <w:name w:val="annotation subject"/>
    <w:basedOn w:val="Tekstopmerking"/>
    <w:next w:val="Tekstopmerking"/>
    <w:link w:val="OnderwerpvanopmerkingTeken"/>
    <w:uiPriority w:val="99"/>
    <w:semiHidden/>
    <w:unhideWhenUsed/>
    <w:rsid w:val="00013FE3"/>
    <w:pPr>
      <w:pBdr>
        <w:top w:val="none" w:sz="0" w:space="0" w:color="auto"/>
        <w:left w:val="none" w:sz="0" w:space="0" w:color="auto"/>
        <w:bottom w:val="none" w:sz="0" w:space="0" w:color="auto"/>
        <w:right w:val="none" w:sz="0" w:space="0" w:color="auto"/>
        <w:between w:val="none" w:sz="0" w:space="0" w:color="auto"/>
        <w:bar w:val="none" w:sz="0" w:color="auto"/>
      </w:pBdr>
      <w:suppressAutoHyphens w:val="0"/>
    </w:pPr>
    <w:rPr>
      <w:rFonts w:asciiTheme="minorHAnsi" w:eastAsiaTheme="minorEastAsia" w:hAnsiTheme="minorHAnsi" w:cstheme="minorBidi"/>
      <w:b/>
      <w:bCs/>
      <w:color w:val="auto"/>
      <w:kern w:val="0"/>
      <w:bdr w:val="none" w:sz="0" w:space="0" w:color="auto"/>
    </w:rPr>
  </w:style>
  <w:style w:type="character" w:customStyle="1" w:styleId="OnderwerpvanopmerkingTeken">
    <w:name w:val="Onderwerp van opmerking Teken"/>
    <w:basedOn w:val="TekstopmerkingTeken"/>
    <w:link w:val="Onderwerpvanopmerking"/>
    <w:uiPriority w:val="99"/>
    <w:semiHidden/>
    <w:rsid w:val="00013FE3"/>
    <w:rPr>
      <w:rFonts w:ascii="Times New Roman" w:eastAsiaTheme="minorEastAsia" w:hAnsi="Arial Unicode MS" w:cs="Arial Unicode MS"/>
      <w:b/>
      <w:bCs/>
      <w:color w:val="000000"/>
      <w:kern w:val="1"/>
      <w:sz w:val="20"/>
      <w:szCs w:val="20"/>
      <w:u w:color="000000"/>
      <w:bdr w:val="nil"/>
      <w:lang w:val="en-US"/>
    </w:rPr>
  </w:style>
  <w:style w:type="paragraph" w:styleId="Ballontekst">
    <w:name w:val="Balloon Text"/>
    <w:basedOn w:val="Normaal"/>
    <w:link w:val="BallontekstTeken"/>
    <w:uiPriority w:val="99"/>
    <w:semiHidden/>
    <w:unhideWhenUsed/>
    <w:rsid w:val="00013FE3"/>
    <w:rPr>
      <w:rFonts w:ascii="Tahoma" w:hAnsi="Tahoma" w:cs="Tahoma"/>
      <w:sz w:val="16"/>
      <w:szCs w:val="16"/>
    </w:rPr>
  </w:style>
  <w:style w:type="character" w:customStyle="1" w:styleId="BallontekstTeken">
    <w:name w:val="Ballontekst Teken"/>
    <w:basedOn w:val="Standaardalinea-lettertype"/>
    <w:link w:val="Ballontekst"/>
    <w:uiPriority w:val="99"/>
    <w:semiHidden/>
    <w:rsid w:val="00013FE3"/>
    <w:rPr>
      <w:rFonts w:ascii="Tahoma" w:eastAsiaTheme="minorEastAsia" w:hAnsi="Tahoma" w:cs="Tahoma"/>
      <w:sz w:val="16"/>
      <w:szCs w:val="16"/>
      <w:lang w:val="en-US"/>
    </w:rPr>
  </w:style>
  <w:style w:type="character" w:styleId="Hyperlink">
    <w:name w:val="Hyperlink"/>
    <w:basedOn w:val="Standaardalinea-lettertype"/>
    <w:uiPriority w:val="99"/>
    <w:unhideWhenUsed/>
    <w:rsid w:val="00731773"/>
    <w:rPr>
      <w:color w:val="0563C1" w:themeColor="hyperlink"/>
      <w:u w:val="single"/>
    </w:rPr>
  </w:style>
  <w:style w:type="character" w:styleId="GevolgdeHyperlink">
    <w:name w:val="FollowedHyperlink"/>
    <w:basedOn w:val="Standaardalinea-lettertype"/>
    <w:uiPriority w:val="99"/>
    <w:semiHidden/>
    <w:unhideWhenUsed/>
    <w:rsid w:val="002E61E0"/>
    <w:rPr>
      <w:color w:val="954F72" w:themeColor="followedHyperlink"/>
      <w:u w:val="single"/>
    </w:rPr>
  </w:style>
  <w:style w:type="paragraph" w:styleId="Koptekst">
    <w:name w:val="header"/>
    <w:basedOn w:val="Normaal"/>
    <w:link w:val="KoptekstTeken"/>
    <w:uiPriority w:val="99"/>
    <w:unhideWhenUsed/>
    <w:rsid w:val="008B130D"/>
    <w:pPr>
      <w:tabs>
        <w:tab w:val="center" w:pos="4513"/>
        <w:tab w:val="right" w:pos="9026"/>
      </w:tabs>
    </w:pPr>
  </w:style>
  <w:style w:type="character" w:customStyle="1" w:styleId="KoptekstTeken">
    <w:name w:val="Koptekst Teken"/>
    <w:basedOn w:val="Standaardalinea-lettertype"/>
    <w:link w:val="Koptekst"/>
    <w:uiPriority w:val="99"/>
    <w:rsid w:val="008B130D"/>
    <w:rPr>
      <w:rFonts w:eastAsiaTheme="minorEastAsia"/>
      <w:lang w:val="en-US"/>
    </w:rPr>
  </w:style>
  <w:style w:type="character" w:customStyle="1" w:styleId="Kop4Teken">
    <w:name w:val="Kop 4 Teken"/>
    <w:basedOn w:val="Standaardalinea-lettertype"/>
    <w:link w:val="Kop4"/>
    <w:uiPriority w:val="9"/>
    <w:rsid w:val="00D4485B"/>
    <w:rPr>
      <w:rFonts w:ascii="Times" w:hAnsi="Times"/>
      <w:b/>
      <w:bCs/>
    </w:rPr>
  </w:style>
  <w:style w:type="paragraph" w:styleId="Normaalweb">
    <w:name w:val="Normal (Web)"/>
    <w:basedOn w:val="Normaal"/>
    <w:uiPriority w:val="99"/>
    <w:unhideWhenUsed/>
    <w:rsid w:val="00D4485B"/>
    <w:pPr>
      <w:spacing w:before="100" w:beforeAutospacing="1" w:after="100" w:afterAutospacing="1"/>
    </w:pPr>
    <w:rPr>
      <w:rFonts w:ascii="Times" w:eastAsiaTheme="minorHAnsi" w:hAnsi="Times" w:cs="Times New Roman"/>
      <w:sz w:val="20"/>
      <w:szCs w:val="20"/>
      <w:lang w:val="en-GB"/>
    </w:rPr>
  </w:style>
  <w:style w:type="character" w:styleId="Zwaar">
    <w:name w:val="Strong"/>
    <w:basedOn w:val="Standaardalinea-lettertype"/>
    <w:uiPriority w:val="22"/>
    <w:qFormat/>
    <w:rsid w:val="00D4485B"/>
    <w:rPr>
      <w:b/>
      <w:bCs/>
    </w:rPr>
  </w:style>
  <w:style w:type="character" w:styleId="Nadruk">
    <w:name w:val="Emphasis"/>
    <w:basedOn w:val="Standaardalinea-lettertype"/>
    <w:uiPriority w:val="20"/>
    <w:qFormat/>
    <w:rsid w:val="00D4485B"/>
    <w:rPr>
      <w:i/>
      <w:iCs/>
    </w:rPr>
  </w:style>
  <w:style w:type="character" w:customStyle="1" w:styleId="Kop1Teken">
    <w:name w:val="Kop 1 Teken"/>
    <w:basedOn w:val="Standaardalinea-lettertype"/>
    <w:link w:val="Kop1"/>
    <w:uiPriority w:val="9"/>
    <w:rsid w:val="00105AF4"/>
    <w:rPr>
      <w:rFonts w:asciiTheme="majorHAnsi" w:eastAsiaTheme="majorEastAsia" w:hAnsiTheme="majorHAnsi" w:cstheme="majorBidi"/>
      <w:b/>
      <w:bCs/>
      <w:color w:val="2C6EAB" w:themeColor="accent1" w:themeShade="B5"/>
      <w:sz w:val="32"/>
      <w:szCs w:val="32"/>
      <w:lang w:val="en-US"/>
    </w:rPr>
  </w:style>
  <w:style w:type="character" w:customStyle="1" w:styleId="Kop2Teken">
    <w:name w:val="Kop 2 Teken"/>
    <w:basedOn w:val="Standaardalinea-lettertype"/>
    <w:link w:val="Kop2"/>
    <w:uiPriority w:val="9"/>
    <w:semiHidden/>
    <w:rsid w:val="00105AF4"/>
    <w:rPr>
      <w:rFonts w:asciiTheme="majorHAnsi" w:eastAsiaTheme="majorEastAsia" w:hAnsiTheme="majorHAnsi" w:cstheme="majorBidi"/>
      <w:b/>
      <w:bCs/>
      <w:color w:val="5B9BD5" w:themeColor="accent1"/>
      <w:sz w:val="26"/>
      <w:szCs w:val="26"/>
      <w:lang w:val="en-US"/>
    </w:rPr>
  </w:style>
  <w:style w:type="character" w:customStyle="1" w:styleId="Kop3Teken">
    <w:name w:val="Kop 3 Teken"/>
    <w:basedOn w:val="Standaardalinea-lettertype"/>
    <w:link w:val="Kop3"/>
    <w:uiPriority w:val="9"/>
    <w:semiHidden/>
    <w:rsid w:val="00105AF4"/>
    <w:rPr>
      <w:rFonts w:asciiTheme="majorHAnsi" w:eastAsiaTheme="majorEastAsia" w:hAnsiTheme="majorHAnsi" w:cstheme="majorBidi"/>
      <w:b/>
      <w:bCs/>
      <w:color w:val="5B9BD5" w:themeColor="accent1"/>
      <w:lang w:val="en-US"/>
    </w:rPr>
  </w:style>
  <w:style w:type="character" w:customStyle="1" w:styleId="apple-converted-space">
    <w:name w:val="apple-converted-space"/>
    <w:basedOn w:val="Standaardalinea-lettertype"/>
    <w:rsid w:val="00105AF4"/>
  </w:style>
  <w:style w:type="character" w:customStyle="1" w:styleId="ce-collab">
    <w:name w:val="ce-collab"/>
    <w:basedOn w:val="Standaardalinea-lettertype"/>
    <w:rsid w:val="00105AF4"/>
  </w:style>
  <w:style w:type="character" w:customStyle="1" w:styleId="headingtext">
    <w:name w:val="headingtext"/>
    <w:basedOn w:val="Standaardalinea-lettertype"/>
    <w:rsid w:val="00105AF4"/>
  </w:style>
  <w:style w:type="character" w:customStyle="1" w:styleId="hinttext">
    <w:name w:val="hinttext"/>
    <w:basedOn w:val="Standaardalinea-lettertype"/>
    <w:rsid w:val="00105AF4"/>
  </w:style>
  <w:style w:type="paragraph" w:styleId="Revisie">
    <w:name w:val="Revision"/>
    <w:hidden/>
    <w:uiPriority w:val="99"/>
    <w:semiHidden/>
    <w:rsid w:val="003C0E40"/>
    <w:rPr>
      <w:rFonts w:eastAsiaTheme="minorEastAsia"/>
      <w:lang w:val="en-US"/>
    </w:rPr>
  </w:style>
  <w:style w:type="paragraph" w:styleId="Lijstalinea">
    <w:name w:val="List Paragraph"/>
    <w:basedOn w:val="Normaal"/>
    <w:uiPriority w:val="34"/>
    <w:qFormat/>
    <w:rsid w:val="00FD5EA2"/>
    <w:pPr>
      <w:ind w:left="720"/>
      <w:contextualSpacing/>
    </w:pPr>
  </w:style>
  <w:style w:type="character" w:customStyle="1" w:styleId="il">
    <w:name w:val="il"/>
    <w:basedOn w:val="Standaardalinea-lettertype"/>
    <w:rsid w:val="00B52221"/>
  </w:style>
  <w:style w:type="paragraph" w:customStyle="1" w:styleId="Default">
    <w:name w:val="Default"/>
    <w:rsid w:val="009C4934"/>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E44C83"/>
    <w:rPr>
      <w:rFonts w:eastAsiaTheme="minorEastAsia"/>
      <w:lang w:val="en-US"/>
    </w:rPr>
  </w:style>
  <w:style w:type="paragraph" w:styleId="Kop1">
    <w:name w:val="heading 1"/>
    <w:basedOn w:val="Normaal"/>
    <w:next w:val="Normaal"/>
    <w:link w:val="Kop1Teken"/>
    <w:uiPriority w:val="9"/>
    <w:qFormat/>
    <w:rsid w:val="00105AF4"/>
    <w:pPr>
      <w:keepNext/>
      <w:keepLines/>
      <w:spacing w:before="480"/>
      <w:outlineLvl w:val="0"/>
    </w:pPr>
    <w:rPr>
      <w:rFonts w:asciiTheme="majorHAnsi" w:eastAsiaTheme="majorEastAsia" w:hAnsiTheme="majorHAnsi" w:cstheme="majorBidi"/>
      <w:b/>
      <w:bCs/>
      <w:color w:val="2C6EAB" w:themeColor="accent1" w:themeShade="B5"/>
      <w:sz w:val="32"/>
      <w:szCs w:val="32"/>
    </w:rPr>
  </w:style>
  <w:style w:type="paragraph" w:styleId="Kop2">
    <w:name w:val="heading 2"/>
    <w:basedOn w:val="Normaal"/>
    <w:next w:val="Normaal"/>
    <w:link w:val="Kop2Teken"/>
    <w:uiPriority w:val="9"/>
    <w:semiHidden/>
    <w:unhideWhenUsed/>
    <w:qFormat/>
    <w:rsid w:val="00105AF4"/>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Kop3">
    <w:name w:val="heading 3"/>
    <w:basedOn w:val="Normaal"/>
    <w:next w:val="Normaal"/>
    <w:link w:val="Kop3Teken"/>
    <w:uiPriority w:val="9"/>
    <w:semiHidden/>
    <w:unhideWhenUsed/>
    <w:qFormat/>
    <w:rsid w:val="00105AF4"/>
    <w:pPr>
      <w:keepNext/>
      <w:keepLines/>
      <w:spacing w:before="200"/>
      <w:outlineLvl w:val="2"/>
    </w:pPr>
    <w:rPr>
      <w:rFonts w:asciiTheme="majorHAnsi" w:eastAsiaTheme="majorEastAsia" w:hAnsiTheme="majorHAnsi" w:cstheme="majorBidi"/>
      <w:b/>
      <w:bCs/>
      <w:color w:val="5B9BD5" w:themeColor="accent1"/>
    </w:rPr>
  </w:style>
  <w:style w:type="paragraph" w:styleId="Kop4">
    <w:name w:val="heading 4"/>
    <w:basedOn w:val="Normaal"/>
    <w:link w:val="Kop4Teken"/>
    <w:uiPriority w:val="9"/>
    <w:qFormat/>
    <w:rsid w:val="00D4485B"/>
    <w:pPr>
      <w:spacing w:before="100" w:beforeAutospacing="1" w:after="100" w:afterAutospacing="1"/>
      <w:outlineLvl w:val="3"/>
    </w:pPr>
    <w:rPr>
      <w:rFonts w:ascii="Times" w:eastAsiaTheme="minorHAnsi" w:hAnsi="Times"/>
      <w:b/>
      <w:bCs/>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1B4566"/>
    <w:pPr>
      <w:pBdr>
        <w:top w:val="nil"/>
        <w:left w:val="nil"/>
        <w:bottom w:val="nil"/>
        <w:right w:val="nil"/>
        <w:between w:val="nil"/>
        <w:bar w:val="nil"/>
      </w:pBdr>
      <w:suppressAutoHyphens/>
    </w:pPr>
    <w:rPr>
      <w:rFonts w:ascii="Times New Roman" w:eastAsia="Arial Unicode MS" w:hAnsi="Arial Unicode MS" w:cs="Arial Unicode MS"/>
      <w:color w:val="000000"/>
      <w:kern w:val="1"/>
      <w:u w:color="000000"/>
      <w:bdr w:val="nil"/>
      <w:lang w:val="en-US"/>
    </w:rPr>
  </w:style>
  <w:style w:type="paragraph" w:styleId="Tekstopmerking">
    <w:name w:val="annotation text"/>
    <w:basedOn w:val="Normaal"/>
    <w:link w:val="TekstopmerkingTeken"/>
    <w:uiPriority w:val="99"/>
    <w:unhideWhenUsed/>
    <w:rsid w:val="001B4566"/>
    <w:pPr>
      <w:pBdr>
        <w:top w:val="nil"/>
        <w:left w:val="nil"/>
        <w:bottom w:val="nil"/>
        <w:right w:val="nil"/>
        <w:between w:val="nil"/>
        <w:bar w:val="nil"/>
      </w:pBdr>
      <w:suppressAutoHyphens/>
    </w:pPr>
    <w:rPr>
      <w:rFonts w:ascii="Times New Roman" w:eastAsia="Arial Unicode MS" w:hAnsi="Arial Unicode MS" w:cs="Arial Unicode MS"/>
      <w:color w:val="000000"/>
      <w:kern w:val="1"/>
      <w:sz w:val="20"/>
      <w:szCs w:val="20"/>
      <w:u w:color="000000"/>
      <w:bdr w:val="nil"/>
    </w:rPr>
  </w:style>
  <w:style w:type="character" w:customStyle="1" w:styleId="TekstopmerkingTeken">
    <w:name w:val="Tekst opmerking Teken"/>
    <w:basedOn w:val="Standaardalinea-lettertype"/>
    <w:link w:val="Tekstopmerking"/>
    <w:uiPriority w:val="99"/>
    <w:rsid w:val="001B4566"/>
    <w:rPr>
      <w:rFonts w:ascii="Times New Roman" w:eastAsia="Arial Unicode MS" w:hAnsi="Arial Unicode MS" w:cs="Arial Unicode MS"/>
      <w:color w:val="000000"/>
      <w:kern w:val="1"/>
      <w:sz w:val="20"/>
      <w:szCs w:val="20"/>
      <w:u w:color="000000"/>
      <w:bdr w:val="nil"/>
      <w:lang w:val="en-US"/>
    </w:rPr>
  </w:style>
  <w:style w:type="paragraph" w:styleId="Voettekst">
    <w:name w:val="footer"/>
    <w:basedOn w:val="Normaal"/>
    <w:link w:val="VoettekstTeken"/>
    <w:uiPriority w:val="99"/>
    <w:unhideWhenUsed/>
    <w:rsid w:val="00305BD8"/>
    <w:pPr>
      <w:tabs>
        <w:tab w:val="center" w:pos="4513"/>
        <w:tab w:val="right" w:pos="9026"/>
      </w:tabs>
    </w:pPr>
  </w:style>
  <w:style w:type="character" w:customStyle="1" w:styleId="VoettekstTeken">
    <w:name w:val="Voettekst Teken"/>
    <w:basedOn w:val="Standaardalinea-lettertype"/>
    <w:link w:val="Voettekst"/>
    <w:uiPriority w:val="99"/>
    <w:rsid w:val="00305BD8"/>
    <w:rPr>
      <w:rFonts w:eastAsiaTheme="minorEastAsia"/>
      <w:lang w:val="en-US"/>
    </w:rPr>
  </w:style>
  <w:style w:type="character" w:styleId="Paginanummer">
    <w:name w:val="page number"/>
    <w:basedOn w:val="Standaardalinea-lettertype"/>
    <w:uiPriority w:val="99"/>
    <w:semiHidden/>
    <w:unhideWhenUsed/>
    <w:rsid w:val="00305BD8"/>
  </w:style>
  <w:style w:type="character" w:styleId="Verwijzingopmerking">
    <w:name w:val="annotation reference"/>
    <w:basedOn w:val="Standaardalinea-lettertype"/>
    <w:uiPriority w:val="99"/>
    <w:semiHidden/>
    <w:unhideWhenUsed/>
    <w:rsid w:val="00013FE3"/>
    <w:rPr>
      <w:sz w:val="16"/>
      <w:szCs w:val="16"/>
    </w:rPr>
  </w:style>
  <w:style w:type="paragraph" w:styleId="Onderwerpvanopmerking">
    <w:name w:val="annotation subject"/>
    <w:basedOn w:val="Tekstopmerking"/>
    <w:next w:val="Tekstopmerking"/>
    <w:link w:val="OnderwerpvanopmerkingTeken"/>
    <w:uiPriority w:val="99"/>
    <w:semiHidden/>
    <w:unhideWhenUsed/>
    <w:rsid w:val="00013FE3"/>
    <w:pPr>
      <w:pBdr>
        <w:top w:val="none" w:sz="0" w:space="0" w:color="auto"/>
        <w:left w:val="none" w:sz="0" w:space="0" w:color="auto"/>
        <w:bottom w:val="none" w:sz="0" w:space="0" w:color="auto"/>
        <w:right w:val="none" w:sz="0" w:space="0" w:color="auto"/>
        <w:between w:val="none" w:sz="0" w:space="0" w:color="auto"/>
        <w:bar w:val="none" w:sz="0" w:color="auto"/>
      </w:pBdr>
      <w:suppressAutoHyphens w:val="0"/>
    </w:pPr>
    <w:rPr>
      <w:rFonts w:asciiTheme="minorHAnsi" w:eastAsiaTheme="minorEastAsia" w:hAnsiTheme="minorHAnsi" w:cstheme="minorBidi"/>
      <w:b/>
      <w:bCs/>
      <w:color w:val="auto"/>
      <w:kern w:val="0"/>
      <w:bdr w:val="none" w:sz="0" w:space="0" w:color="auto"/>
    </w:rPr>
  </w:style>
  <w:style w:type="character" w:customStyle="1" w:styleId="OnderwerpvanopmerkingTeken">
    <w:name w:val="Onderwerp van opmerking Teken"/>
    <w:basedOn w:val="TekstopmerkingTeken"/>
    <w:link w:val="Onderwerpvanopmerking"/>
    <w:uiPriority w:val="99"/>
    <w:semiHidden/>
    <w:rsid w:val="00013FE3"/>
    <w:rPr>
      <w:rFonts w:ascii="Times New Roman" w:eastAsiaTheme="minorEastAsia" w:hAnsi="Arial Unicode MS" w:cs="Arial Unicode MS"/>
      <w:b/>
      <w:bCs/>
      <w:color w:val="000000"/>
      <w:kern w:val="1"/>
      <w:sz w:val="20"/>
      <w:szCs w:val="20"/>
      <w:u w:color="000000"/>
      <w:bdr w:val="nil"/>
      <w:lang w:val="en-US"/>
    </w:rPr>
  </w:style>
  <w:style w:type="paragraph" w:styleId="Ballontekst">
    <w:name w:val="Balloon Text"/>
    <w:basedOn w:val="Normaal"/>
    <w:link w:val="BallontekstTeken"/>
    <w:uiPriority w:val="99"/>
    <w:semiHidden/>
    <w:unhideWhenUsed/>
    <w:rsid w:val="00013FE3"/>
    <w:rPr>
      <w:rFonts w:ascii="Tahoma" w:hAnsi="Tahoma" w:cs="Tahoma"/>
      <w:sz w:val="16"/>
      <w:szCs w:val="16"/>
    </w:rPr>
  </w:style>
  <w:style w:type="character" w:customStyle="1" w:styleId="BallontekstTeken">
    <w:name w:val="Ballontekst Teken"/>
    <w:basedOn w:val="Standaardalinea-lettertype"/>
    <w:link w:val="Ballontekst"/>
    <w:uiPriority w:val="99"/>
    <w:semiHidden/>
    <w:rsid w:val="00013FE3"/>
    <w:rPr>
      <w:rFonts w:ascii="Tahoma" w:eastAsiaTheme="minorEastAsia" w:hAnsi="Tahoma" w:cs="Tahoma"/>
      <w:sz w:val="16"/>
      <w:szCs w:val="16"/>
      <w:lang w:val="en-US"/>
    </w:rPr>
  </w:style>
  <w:style w:type="character" w:styleId="Hyperlink">
    <w:name w:val="Hyperlink"/>
    <w:basedOn w:val="Standaardalinea-lettertype"/>
    <w:uiPriority w:val="99"/>
    <w:unhideWhenUsed/>
    <w:rsid w:val="00731773"/>
    <w:rPr>
      <w:color w:val="0563C1" w:themeColor="hyperlink"/>
      <w:u w:val="single"/>
    </w:rPr>
  </w:style>
  <w:style w:type="character" w:styleId="GevolgdeHyperlink">
    <w:name w:val="FollowedHyperlink"/>
    <w:basedOn w:val="Standaardalinea-lettertype"/>
    <w:uiPriority w:val="99"/>
    <w:semiHidden/>
    <w:unhideWhenUsed/>
    <w:rsid w:val="002E61E0"/>
    <w:rPr>
      <w:color w:val="954F72" w:themeColor="followedHyperlink"/>
      <w:u w:val="single"/>
    </w:rPr>
  </w:style>
  <w:style w:type="paragraph" w:styleId="Koptekst">
    <w:name w:val="header"/>
    <w:basedOn w:val="Normaal"/>
    <w:link w:val="KoptekstTeken"/>
    <w:uiPriority w:val="99"/>
    <w:unhideWhenUsed/>
    <w:rsid w:val="008B130D"/>
    <w:pPr>
      <w:tabs>
        <w:tab w:val="center" w:pos="4513"/>
        <w:tab w:val="right" w:pos="9026"/>
      </w:tabs>
    </w:pPr>
  </w:style>
  <w:style w:type="character" w:customStyle="1" w:styleId="KoptekstTeken">
    <w:name w:val="Koptekst Teken"/>
    <w:basedOn w:val="Standaardalinea-lettertype"/>
    <w:link w:val="Koptekst"/>
    <w:uiPriority w:val="99"/>
    <w:rsid w:val="008B130D"/>
    <w:rPr>
      <w:rFonts w:eastAsiaTheme="minorEastAsia"/>
      <w:lang w:val="en-US"/>
    </w:rPr>
  </w:style>
  <w:style w:type="character" w:customStyle="1" w:styleId="Kop4Teken">
    <w:name w:val="Kop 4 Teken"/>
    <w:basedOn w:val="Standaardalinea-lettertype"/>
    <w:link w:val="Kop4"/>
    <w:uiPriority w:val="9"/>
    <w:rsid w:val="00D4485B"/>
    <w:rPr>
      <w:rFonts w:ascii="Times" w:hAnsi="Times"/>
      <w:b/>
      <w:bCs/>
    </w:rPr>
  </w:style>
  <w:style w:type="paragraph" w:styleId="Normaalweb">
    <w:name w:val="Normal (Web)"/>
    <w:basedOn w:val="Normaal"/>
    <w:uiPriority w:val="99"/>
    <w:unhideWhenUsed/>
    <w:rsid w:val="00D4485B"/>
    <w:pPr>
      <w:spacing w:before="100" w:beforeAutospacing="1" w:after="100" w:afterAutospacing="1"/>
    </w:pPr>
    <w:rPr>
      <w:rFonts w:ascii="Times" w:eastAsiaTheme="minorHAnsi" w:hAnsi="Times" w:cs="Times New Roman"/>
      <w:sz w:val="20"/>
      <w:szCs w:val="20"/>
      <w:lang w:val="en-GB"/>
    </w:rPr>
  </w:style>
  <w:style w:type="character" w:styleId="Zwaar">
    <w:name w:val="Strong"/>
    <w:basedOn w:val="Standaardalinea-lettertype"/>
    <w:uiPriority w:val="22"/>
    <w:qFormat/>
    <w:rsid w:val="00D4485B"/>
    <w:rPr>
      <w:b/>
      <w:bCs/>
    </w:rPr>
  </w:style>
  <w:style w:type="character" w:styleId="Nadruk">
    <w:name w:val="Emphasis"/>
    <w:basedOn w:val="Standaardalinea-lettertype"/>
    <w:uiPriority w:val="20"/>
    <w:qFormat/>
    <w:rsid w:val="00D4485B"/>
    <w:rPr>
      <w:i/>
      <w:iCs/>
    </w:rPr>
  </w:style>
  <w:style w:type="character" w:customStyle="1" w:styleId="Kop1Teken">
    <w:name w:val="Kop 1 Teken"/>
    <w:basedOn w:val="Standaardalinea-lettertype"/>
    <w:link w:val="Kop1"/>
    <w:uiPriority w:val="9"/>
    <w:rsid w:val="00105AF4"/>
    <w:rPr>
      <w:rFonts w:asciiTheme="majorHAnsi" w:eastAsiaTheme="majorEastAsia" w:hAnsiTheme="majorHAnsi" w:cstheme="majorBidi"/>
      <w:b/>
      <w:bCs/>
      <w:color w:val="2C6EAB" w:themeColor="accent1" w:themeShade="B5"/>
      <w:sz w:val="32"/>
      <w:szCs w:val="32"/>
      <w:lang w:val="en-US"/>
    </w:rPr>
  </w:style>
  <w:style w:type="character" w:customStyle="1" w:styleId="Kop2Teken">
    <w:name w:val="Kop 2 Teken"/>
    <w:basedOn w:val="Standaardalinea-lettertype"/>
    <w:link w:val="Kop2"/>
    <w:uiPriority w:val="9"/>
    <w:semiHidden/>
    <w:rsid w:val="00105AF4"/>
    <w:rPr>
      <w:rFonts w:asciiTheme="majorHAnsi" w:eastAsiaTheme="majorEastAsia" w:hAnsiTheme="majorHAnsi" w:cstheme="majorBidi"/>
      <w:b/>
      <w:bCs/>
      <w:color w:val="5B9BD5" w:themeColor="accent1"/>
      <w:sz w:val="26"/>
      <w:szCs w:val="26"/>
      <w:lang w:val="en-US"/>
    </w:rPr>
  </w:style>
  <w:style w:type="character" w:customStyle="1" w:styleId="Kop3Teken">
    <w:name w:val="Kop 3 Teken"/>
    <w:basedOn w:val="Standaardalinea-lettertype"/>
    <w:link w:val="Kop3"/>
    <w:uiPriority w:val="9"/>
    <w:semiHidden/>
    <w:rsid w:val="00105AF4"/>
    <w:rPr>
      <w:rFonts w:asciiTheme="majorHAnsi" w:eastAsiaTheme="majorEastAsia" w:hAnsiTheme="majorHAnsi" w:cstheme="majorBidi"/>
      <w:b/>
      <w:bCs/>
      <w:color w:val="5B9BD5" w:themeColor="accent1"/>
      <w:lang w:val="en-US"/>
    </w:rPr>
  </w:style>
  <w:style w:type="character" w:customStyle="1" w:styleId="apple-converted-space">
    <w:name w:val="apple-converted-space"/>
    <w:basedOn w:val="Standaardalinea-lettertype"/>
    <w:rsid w:val="00105AF4"/>
  </w:style>
  <w:style w:type="character" w:customStyle="1" w:styleId="ce-collab">
    <w:name w:val="ce-collab"/>
    <w:basedOn w:val="Standaardalinea-lettertype"/>
    <w:rsid w:val="00105AF4"/>
  </w:style>
  <w:style w:type="character" w:customStyle="1" w:styleId="headingtext">
    <w:name w:val="headingtext"/>
    <w:basedOn w:val="Standaardalinea-lettertype"/>
    <w:rsid w:val="00105AF4"/>
  </w:style>
  <w:style w:type="character" w:customStyle="1" w:styleId="hinttext">
    <w:name w:val="hinttext"/>
    <w:basedOn w:val="Standaardalinea-lettertype"/>
    <w:rsid w:val="00105AF4"/>
  </w:style>
  <w:style w:type="paragraph" w:styleId="Revisie">
    <w:name w:val="Revision"/>
    <w:hidden/>
    <w:uiPriority w:val="99"/>
    <w:semiHidden/>
    <w:rsid w:val="003C0E40"/>
    <w:rPr>
      <w:rFonts w:eastAsiaTheme="minorEastAsia"/>
      <w:lang w:val="en-US"/>
    </w:rPr>
  </w:style>
  <w:style w:type="paragraph" w:styleId="Lijstalinea">
    <w:name w:val="List Paragraph"/>
    <w:basedOn w:val="Normaal"/>
    <w:uiPriority w:val="34"/>
    <w:qFormat/>
    <w:rsid w:val="00FD5EA2"/>
    <w:pPr>
      <w:ind w:left="720"/>
      <w:contextualSpacing/>
    </w:pPr>
  </w:style>
  <w:style w:type="character" w:customStyle="1" w:styleId="il">
    <w:name w:val="il"/>
    <w:basedOn w:val="Standaardalinea-lettertype"/>
    <w:rsid w:val="00B52221"/>
  </w:style>
  <w:style w:type="paragraph" w:customStyle="1" w:styleId="Default">
    <w:name w:val="Default"/>
    <w:rsid w:val="009C4934"/>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62723">
      <w:bodyDiv w:val="1"/>
      <w:marLeft w:val="0"/>
      <w:marRight w:val="0"/>
      <w:marTop w:val="0"/>
      <w:marBottom w:val="0"/>
      <w:divBdr>
        <w:top w:val="none" w:sz="0" w:space="0" w:color="auto"/>
        <w:left w:val="none" w:sz="0" w:space="0" w:color="auto"/>
        <w:bottom w:val="none" w:sz="0" w:space="0" w:color="auto"/>
        <w:right w:val="none" w:sz="0" w:space="0" w:color="auto"/>
      </w:divBdr>
    </w:div>
    <w:div w:id="140775750">
      <w:bodyDiv w:val="1"/>
      <w:marLeft w:val="0"/>
      <w:marRight w:val="0"/>
      <w:marTop w:val="0"/>
      <w:marBottom w:val="0"/>
      <w:divBdr>
        <w:top w:val="none" w:sz="0" w:space="0" w:color="auto"/>
        <w:left w:val="none" w:sz="0" w:space="0" w:color="auto"/>
        <w:bottom w:val="none" w:sz="0" w:space="0" w:color="auto"/>
        <w:right w:val="none" w:sz="0" w:space="0" w:color="auto"/>
      </w:divBdr>
    </w:div>
    <w:div w:id="156969236">
      <w:bodyDiv w:val="1"/>
      <w:marLeft w:val="0"/>
      <w:marRight w:val="0"/>
      <w:marTop w:val="0"/>
      <w:marBottom w:val="0"/>
      <w:divBdr>
        <w:top w:val="none" w:sz="0" w:space="0" w:color="auto"/>
        <w:left w:val="none" w:sz="0" w:space="0" w:color="auto"/>
        <w:bottom w:val="none" w:sz="0" w:space="0" w:color="auto"/>
        <w:right w:val="none" w:sz="0" w:space="0" w:color="auto"/>
      </w:divBdr>
    </w:div>
    <w:div w:id="170611948">
      <w:bodyDiv w:val="1"/>
      <w:marLeft w:val="0"/>
      <w:marRight w:val="0"/>
      <w:marTop w:val="0"/>
      <w:marBottom w:val="0"/>
      <w:divBdr>
        <w:top w:val="none" w:sz="0" w:space="0" w:color="auto"/>
        <w:left w:val="none" w:sz="0" w:space="0" w:color="auto"/>
        <w:bottom w:val="none" w:sz="0" w:space="0" w:color="auto"/>
        <w:right w:val="none" w:sz="0" w:space="0" w:color="auto"/>
      </w:divBdr>
    </w:div>
    <w:div w:id="221453236">
      <w:bodyDiv w:val="1"/>
      <w:marLeft w:val="0"/>
      <w:marRight w:val="0"/>
      <w:marTop w:val="0"/>
      <w:marBottom w:val="0"/>
      <w:divBdr>
        <w:top w:val="none" w:sz="0" w:space="0" w:color="auto"/>
        <w:left w:val="none" w:sz="0" w:space="0" w:color="auto"/>
        <w:bottom w:val="none" w:sz="0" w:space="0" w:color="auto"/>
        <w:right w:val="none" w:sz="0" w:space="0" w:color="auto"/>
      </w:divBdr>
    </w:div>
    <w:div w:id="323776413">
      <w:bodyDiv w:val="1"/>
      <w:marLeft w:val="0"/>
      <w:marRight w:val="0"/>
      <w:marTop w:val="0"/>
      <w:marBottom w:val="0"/>
      <w:divBdr>
        <w:top w:val="none" w:sz="0" w:space="0" w:color="auto"/>
        <w:left w:val="none" w:sz="0" w:space="0" w:color="auto"/>
        <w:bottom w:val="none" w:sz="0" w:space="0" w:color="auto"/>
        <w:right w:val="none" w:sz="0" w:space="0" w:color="auto"/>
      </w:divBdr>
    </w:div>
    <w:div w:id="367295630">
      <w:bodyDiv w:val="1"/>
      <w:marLeft w:val="0"/>
      <w:marRight w:val="0"/>
      <w:marTop w:val="0"/>
      <w:marBottom w:val="0"/>
      <w:divBdr>
        <w:top w:val="none" w:sz="0" w:space="0" w:color="auto"/>
        <w:left w:val="none" w:sz="0" w:space="0" w:color="auto"/>
        <w:bottom w:val="none" w:sz="0" w:space="0" w:color="auto"/>
        <w:right w:val="none" w:sz="0" w:space="0" w:color="auto"/>
      </w:divBdr>
      <w:divsChild>
        <w:div w:id="34351538">
          <w:marLeft w:val="0"/>
          <w:marRight w:val="0"/>
          <w:marTop w:val="0"/>
          <w:marBottom w:val="0"/>
          <w:divBdr>
            <w:top w:val="none" w:sz="0" w:space="0" w:color="auto"/>
            <w:left w:val="none" w:sz="0" w:space="0" w:color="auto"/>
            <w:bottom w:val="none" w:sz="0" w:space="0" w:color="auto"/>
            <w:right w:val="none" w:sz="0" w:space="0" w:color="auto"/>
          </w:divBdr>
        </w:div>
        <w:div w:id="545066135">
          <w:marLeft w:val="0"/>
          <w:marRight w:val="0"/>
          <w:marTop w:val="0"/>
          <w:marBottom w:val="0"/>
          <w:divBdr>
            <w:top w:val="none" w:sz="0" w:space="0" w:color="auto"/>
            <w:left w:val="none" w:sz="0" w:space="0" w:color="auto"/>
            <w:bottom w:val="none" w:sz="0" w:space="0" w:color="auto"/>
            <w:right w:val="none" w:sz="0" w:space="0" w:color="auto"/>
          </w:divBdr>
        </w:div>
      </w:divsChild>
    </w:div>
    <w:div w:id="388457479">
      <w:bodyDiv w:val="1"/>
      <w:marLeft w:val="0"/>
      <w:marRight w:val="0"/>
      <w:marTop w:val="0"/>
      <w:marBottom w:val="0"/>
      <w:divBdr>
        <w:top w:val="none" w:sz="0" w:space="0" w:color="auto"/>
        <w:left w:val="none" w:sz="0" w:space="0" w:color="auto"/>
        <w:bottom w:val="none" w:sz="0" w:space="0" w:color="auto"/>
        <w:right w:val="none" w:sz="0" w:space="0" w:color="auto"/>
      </w:divBdr>
    </w:div>
    <w:div w:id="453910796">
      <w:bodyDiv w:val="1"/>
      <w:marLeft w:val="0"/>
      <w:marRight w:val="0"/>
      <w:marTop w:val="0"/>
      <w:marBottom w:val="0"/>
      <w:divBdr>
        <w:top w:val="none" w:sz="0" w:space="0" w:color="auto"/>
        <w:left w:val="none" w:sz="0" w:space="0" w:color="auto"/>
        <w:bottom w:val="none" w:sz="0" w:space="0" w:color="auto"/>
        <w:right w:val="none" w:sz="0" w:space="0" w:color="auto"/>
      </w:divBdr>
      <w:divsChild>
        <w:div w:id="1286931538">
          <w:marLeft w:val="0"/>
          <w:marRight w:val="0"/>
          <w:marTop w:val="0"/>
          <w:marBottom w:val="166"/>
          <w:divBdr>
            <w:top w:val="none" w:sz="0" w:space="0" w:color="auto"/>
            <w:left w:val="none" w:sz="0" w:space="0" w:color="auto"/>
            <w:bottom w:val="none" w:sz="0" w:space="0" w:color="auto"/>
            <w:right w:val="none" w:sz="0" w:space="0" w:color="auto"/>
          </w:divBdr>
          <w:divsChild>
            <w:div w:id="1751386998">
              <w:marLeft w:val="0"/>
              <w:marRight w:val="0"/>
              <w:marTop w:val="0"/>
              <w:marBottom w:val="166"/>
              <w:divBdr>
                <w:top w:val="none" w:sz="0" w:space="0" w:color="auto"/>
                <w:left w:val="none" w:sz="0" w:space="0" w:color="auto"/>
                <w:bottom w:val="none" w:sz="0" w:space="0" w:color="auto"/>
                <w:right w:val="none" w:sz="0" w:space="0" w:color="auto"/>
              </w:divBdr>
              <w:divsChild>
                <w:div w:id="1017274571">
                  <w:marLeft w:val="0"/>
                  <w:marRight w:val="0"/>
                  <w:marTop w:val="0"/>
                  <w:marBottom w:val="0"/>
                  <w:divBdr>
                    <w:top w:val="none" w:sz="0" w:space="0" w:color="auto"/>
                    <w:left w:val="none" w:sz="0" w:space="0" w:color="auto"/>
                    <w:bottom w:val="none" w:sz="0" w:space="0" w:color="auto"/>
                    <w:right w:val="none" w:sz="0" w:space="0" w:color="auto"/>
                  </w:divBdr>
                  <w:divsChild>
                    <w:div w:id="1188176614">
                      <w:marLeft w:val="0"/>
                      <w:marRight w:val="0"/>
                      <w:marTop w:val="0"/>
                      <w:marBottom w:val="0"/>
                      <w:divBdr>
                        <w:top w:val="none" w:sz="0" w:space="0" w:color="auto"/>
                        <w:left w:val="none" w:sz="0" w:space="0" w:color="auto"/>
                        <w:bottom w:val="none" w:sz="0" w:space="0" w:color="auto"/>
                        <w:right w:val="none" w:sz="0" w:space="0" w:color="auto"/>
                      </w:divBdr>
                      <w:divsChild>
                        <w:div w:id="135144424">
                          <w:marLeft w:val="0"/>
                          <w:marRight w:val="0"/>
                          <w:marTop w:val="0"/>
                          <w:marBottom w:val="0"/>
                          <w:divBdr>
                            <w:top w:val="none" w:sz="0" w:space="0" w:color="auto"/>
                            <w:left w:val="none" w:sz="0" w:space="0" w:color="auto"/>
                            <w:bottom w:val="none" w:sz="0" w:space="0" w:color="auto"/>
                            <w:right w:val="none" w:sz="0" w:space="0" w:color="auto"/>
                          </w:divBdr>
                        </w:div>
                        <w:div w:id="496073919">
                          <w:marLeft w:val="0"/>
                          <w:marRight w:val="0"/>
                          <w:marTop w:val="0"/>
                          <w:marBottom w:val="0"/>
                          <w:divBdr>
                            <w:top w:val="none" w:sz="0" w:space="0" w:color="auto"/>
                            <w:left w:val="none" w:sz="0" w:space="0" w:color="auto"/>
                            <w:bottom w:val="none" w:sz="0" w:space="0" w:color="auto"/>
                            <w:right w:val="none" w:sz="0" w:space="0" w:color="auto"/>
                          </w:divBdr>
                        </w:div>
                        <w:div w:id="1551456044">
                          <w:marLeft w:val="240"/>
                          <w:marRight w:val="0"/>
                          <w:marTop w:val="0"/>
                          <w:marBottom w:val="0"/>
                          <w:divBdr>
                            <w:top w:val="none" w:sz="0" w:space="0" w:color="auto"/>
                            <w:left w:val="none" w:sz="0" w:space="0" w:color="auto"/>
                            <w:bottom w:val="none" w:sz="0" w:space="0" w:color="auto"/>
                            <w:right w:val="none" w:sz="0" w:space="0" w:color="auto"/>
                          </w:divBdr>
                          <w:divsChild>
                            <w:div w:id="172478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85536">
                      <w:marLeft w:val="0"/>
                      <w:marRight w:val="0"/>
                      <w:marTop w:val="0"/>
                      <w:marBottom w:val="0"/>
                      <w:divBdr>
                        <w:top w:val="none" w:sz="0" w:space="0" w:color="auto"/>
                        <w:left w:val="none" w:sz="0" w:space="0" w:color="auto"/>
                        <w:bottom w:val="none" w:sz="0" w:space="0" w:color="auto"/>
                        <w:right w:val="none" w:sz="0" w:space="0" w:color="auto"/>
                      </w:divBdr>
                      <w:divsChild>
                        <w:div w:id="1430391721">
                          <w:marLeft w:val="0"/>
                          <w:marRight w:val="0"/>
                          <w:marTop w:val="0"/>
                          <w:marBottom w:val="0"/>
                          <w:divBdr>
                            <w:top w:val="none" w:sz="0" w:space="0" w:color="auto"/>
                            <w:left w:val="none" w:sz="0" w:space="0" w:color="auto"/>
                            <w:bottom w:val="none" w:sz="0" w:space="0" w:color="auto"/>
                            <w:right w:val="none" w:sz="0" w:space="0" w:color="auto"/>
                          </w:divBdr>
                        </w:div>
                        <w:div w:id="186752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39687">
              <w:marLeft w:val="0"/>
              <w:marRight w:val="0"/>
              <w:marTop w:val="166"/>
              <w:marBottom w:val="166"/>
              <w:divBdr>
                <w:top w:val="none" w:sz="0" w:space="0" w:color="auto"/>
                <w:left w:val="none" w:sz="0" w:space="0" w:color="auto"/>
                <w:bottom w:val="none" w:sz="0" w:space="0" w:color="auto"/>
                <w:right w:val="none" w:sz="0" w:space="0" w:color="auto"/>
              </w:divBdr>
              <w:divsChild>
                <w:div w:id="852308556">
                  <w:marLeft w:val="0"/>
                  <w:marRight w:val="0"/>
                  <w:marTop w:val="0"/>
                  <w:marBottom w:val="0"/>
                  <w:divBdr>
                    <w:top w:val="none" w:sz="0" w:space="0" w:color="auto"/>
                    <w:left w:val="none" w:sz="0" w:space="0" w:color="auto"/>
                    <w:bottom w:val="none" w:sz="0" w:space="0" w:color="auto"/>
                    <w:right w:val="none" w:sz="0" w:space="0" w:color="auto"/>
                  </w:divBdr>
                </w:div>
              </w:divsChild>
            </w:div>
            <w:div w:id="1494757102">
              <w:marLeft w:val="0"/>
              <w:marRight w:val="0"/>
              <w:marTop w:val="166"/>
              <w:marBottom w:val="166"/>
              <w:divBdr>
                <w:top w:val="none" w:sz="0" w:space="0" w:color="auto"/>
                <w:left w:val="none" w:sz="0" w:space="0" w:color="auto"/>
                <w:bottom w:val="none" w:sz="0" w:space="0" w:color="auto"/>
                <w:right w:val="none" w:sz="0" w:space="0" w:color="auto"/>
              </w:divBdr>
              <w:divsChild>
                <w:div w:id="1983733552">
                  <w:marLeft w:val="0"/>
                  <w:marRight w:val="0"/>
                  <w:marTop w:val="0"/>
                  <w:marBottom w:val="0"/>
                  <w:divBdr>
                    <w:top w:val="none" w:sz="0" w:space="0" w:color="auto"/>
                    <w:left w:val="none" w:sz="0" w:space="0" w:color="auto"/>
                    <w:bottom w:val="none" w:sz="0" w:space="0" w:color="auto"/>
                    <w:right w:val="none" w:sz="0" w:space="0" w:color="auto"/>
                  </w:divBdr>
                </w:div>
              </w:divsChild>
            </w:div>
            <w:div w:id="563838046">
              <w:marLeft w:val="0"/>
              <w:marRight w:val="0"/>
              <w:marTop w:val="332"/>
              <w:marBottom w:val="332"/>
              <w:divBdr>
                <w:top w:val="single" w:sz="6" w:space="5" w:color="EAC3AF"/>
                <w:left w:val="single" w:sz="6" w:space="8" w:color="EAC3AF"/>
                <w:bottom w:val="single" w:sz="6" w:space="5" w:color="EAC3AF"/>
                <w:right w:val="single" w:sz="6" w:space="8" w:color="EAC3AF"/>
              </w:divBdr>
              <w:divsChild>
                <w:div w:id="801122014">
                  <w:marLeft w:val="0"/>
                  <w:marRight w:val="0"/>
                  <w:marTop w:val="0"/>
                  <w:marBottom w:val="0"/>
                  <w:divBdr>
                    <w:top w:val="none" w:sz="0" w:space="0" w:color="auto"/>
                    <w:left w:val="none" w:sz="0" w:space="0" w:color="auto"/>
                    <w:bottom w:val="none" w:sz="0" w:space="0" w:color="auto"/>
                    <w:right w:val="none" w:sz="0" w:space="0" w:color="auto"/>
                  </w:divBdr>
                  <w:divsChild>
                    <w:div w:id="1862012973">
                      <w:marLeft w:val="0"/>
                      <w:marRight w:val="0"/>
                      <w:marTop w:val="0"/>
                      <w:marBottom w:val="0"/>
                      <w:divBdr>
                        <w:top w:val="none" w:sz="0" w:space="0" w:color="auto"/>
                        <w:left w:val="none" w:sz="0" w:space="0" w:color="auto"/>
                        <w:bottom w:val="none" w:sz="0" w:space="0" w:color="auto"/>
                        <w:right w:val="none" w:sz="0" w:space="0" w:color="auto"/>
                      </w:divBdr>
                    </w:div>
                    <w:div w:id="66193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260156">
          <w:marLeft w:val="0"/>
          <w:marRight w:val="0"/>
          <w:marTop w:val="0"/>
          <w:marBottom w:val="0"/>
          <w:divBdr>
            <w:top w:val="none" w:sz="0" w:space="0" w:color="auto"/>
            <w:left w:val="none" w:sz="0" w:space="0" w:color="auto"/>
            <w:bottom w:val="none" w:sz="0" w:space="0" w:color="auto"/>
            <w:right w:val="none" w:sz="0" w:space="0" w:color="auto"/>
          </w:divBdr>
        </w:div>
      </w:divsChild>
    </w:div>
    <w:div w:id="490604884">
      <w:bodyDiv w:val="1"/>
      <w:marLeft w:val="0"/>
      <w:marRight w:val="0"/>
      <w:marTop w:val="0"/>
      <w:marBottom w:val="0"/>
      <w:divBdr>
        <w:top w:val="none" w:sz="0" w:space="0" w:color="auto"/>
        <w:left w:val="none" w:sz="0" w:space="0" w:color="auto"/>
        <w:bottom w:val="none" w:sz="0" w:space="0" w:color="auto"/>
        <w:right w:val="none" w:sz="0" w:space="0" w:color="auto"/>
      </w:divBdr>
    </w:div>
    <w:div w:id="720593705">
      <w:bodyDiv w:val="1"/>
      <w:marLeft w:val="0"/>
      <w:marRight w:val="0"/>
      <w:marTop w:val="0"/>
      <w:marBottom w:val="0"/>
      <w:divBdr>
        <w:top w:val="none" w:sz="0" w:space="0" w:color="auto"/>
        <w:left w:val="none" w:sz="0" w:space="0" w:color="auto"/>
        <w:bottom w:val="none" w:sz="0" w:space="0" w:color="auto"/>
        <w:right w:val="none" w:sz="0" w:space="0" w:color="auto"/>
      </w:divBdr>
    </w:div>
    <w:div w:id="866023438">
      <w:bodyDiv w:val="1"/>
      <w:marLeft w:val="0"/>
      <w:marRight w:val="0"/>
      <w:marTop w:val="0"/>
      <w:marBottom w:val="0"/>
      <w:divBdr>
        <w:top w:val="none" w:sz="0" w:space="0" w:color="auto"/>
        <w:left w:val="none" w:sz="0" w:space="0" w:color="auto"/>
        <w:bottom w:val="none" w:sz="0" w:space="0" w:color="auto"/>
        <w:right w:val="none" w:sz="0" w:space="0" w:color="auto"/>
      </w:divBdr>
    </w:div>
    <w:div w:id="882985587">
      <w:bodyDiv w:val="1"/>
      <w:marLeft w:val="0"/>
      <w:marRight w:val="0"/>
      <w:marTop w:val="0"/>
      <w:marBottom w:val="0"/>
      <w:divBdr>
        <w:top w:val="none" w:sz="0" w:space="0" w:color="auto"/>
        <w:left w:val="none" w:sz="0" w:space="0" w:color="auto"/>
        <w:bottom w:val="none" w:sz="0" w:space="0" w:color="auto"/>
        <w:right w:val="none" w:sz="0" w:space="0" w:color="auto"/>
      </w:divBdr>
    </w:div>
    <w:div w:id="1024403953">
      <w:bodyDiv w:val="1"/>
      <w:marLeft w:val="0"/>
      <w:marRight w:val="0"/>
      <w:marTop w:val="0"/>
      <w:marBottom w:val="0"/>
      <w:divBdr>
        <w:top w:val="none" w:sz="0" w:space="0" w:color="auto"/>
        <w:left w:val="none" w:sz="0" w:space="0" w:color="auto"/>
        <w:bottom w:val="none" w:sz="0" w:space="0" w:color="auto"/>
        <w:right w:val="none" w:sz="0" w:space="0" w:color="auto"/>
      </w:divBdr>
    </w:div>
    <w:div w:id="1099719650">
      <w:bodyDiv w:val="1"/>
      <w:marLeft w:val="0"/>
      <w:marRight w:val="0"/>
      <w:marTop w:val="0"/>
      <w:marBottom w:val="0"/>
      <w:divBdr>
        <w:top w:val="none" w:sz="0" w:space="0" w:color="auto"/>
        <w:left w:val="none" w:sz="0" w:space="0" w:color="auto"/>
        <w:bottom w:val="none" w:sz="0" w:space="0" w:color="auto"/>
        <w:right w:val="none" w:sz="0" w:space="0" w:color="auto"/>
      </w:divBdr>
    </w:div>
    <w:div w:id="1127309009">
      <w:bodyDiv w:val="1"/>
      <w:marLeft w:val="0"/>
      <w:marRight w:val="0"/>
      <w:marTop w:val="0"/>
      <w:marBottom w:val="0"/>
      <w:divBdr>
        <w:top w:val="none" w:sz="0" w:space="0" w:color="auto"/>
        <w:left w:val="none" w:sz="0" w:space="0" w:color="auto"/>
        <w:bottom w:val="none" w:sz="0" w:space="0" w:color="auto"/>
        <w:right w:val="none" w:sz="0" w:space="0" w:color="auto"/>
      </w:divBdr>
    </w:div>
    <w:div w:id="1319845652">
      <w:bodyDiv w:val="1"/>
      <w:marLeft w:val="0"/>
      <w:marRight w:val="0"/>
      <w:marTop w:val="0"/>
      <w:marBottom w:val="0"/>
      <w:divBdr>
        <w:top w:val="none" w:sz="0" w:space="0" w:color="auto"/>
        <w:left w:val="none" w:sz="0" w:space="0" w:color="auto"/>
        <w:bottom w:val="none" w:sz="0" w:space="0" w:color="auto"/>
        <w:right w:val="none" w:sz="0" w:space="0" w:color="auto"/>
      </w:divBdr>
    </w:div>
    <w:div w:id="1331640983">
      <w:bodyDiv w:val="1"/>
      <w:marLeft w:val="0"/>
      <w:marRight w:val="0"/>
      <w:marTop w:val="0"/>
      <w:marBottom w:val="0"/>
      <w:divBdr>
        <w:top w:val="none" w:sz="0" w:space="0" w:color="auto"/>
        <w:left w:val="none" w:sz="0" w:space="0" w:color="auto"/>
        <w:bottom w:val="none" w:sz="0" w:space="0" w:color="auto"/>
        <w:right w:val="none" w:sz="0" w:space="0" w:color="auto"/>
      </w:divBdr>
    </w:div>
    <w:div w:id="1349795255">
      <w:bodyDiv w:val="1"/>
      <w:marLeft w:val="0"/>
      <w:marRight w:val="0"/>
      <w:marTop w:val="0"/>
      <w:marBottom w:val="0"/>
      <w:divBdr>
        <w:top w:val="none" w:sz="0" w:space="0" w:color="auto"/>
        <w:left w:val="none" w:sz="0" w:space="0" w:color="auto"/>
        <w:bottom w:val="none" w:sz="0" w:space="0" w:color="auto"/>
        <w:right w:val="none" w:sz="0" w:space="0" w:color="auto"/>
      </w:divBdr>
      <w:divsChild>
        <w:div w:id="477384199">
          <w:marLeft w:val="0"/>
          <w:marRight w:val="0"/>
          <w:marTop w:val="0"/>
          <w:marBottom w:val="166"/>
          <w:divBdr>
            <w:top w:val="none" w:sz="0" w:space="0" w:color="auto"/>
            <w:left w:val="none" w:sz="0" w:space="0" w:color="auto"/>
            <w:bottom w:val="none" w:sz="0" w:space="0" w:color="auto"/>
            <w:right w:val="none" w:sz="0" w:space="0" w:color="auto"/>
          </w:divBdr>
          <w:divsChild>
            <w:div w:id="1824270620">
              <w:marLeft w:val="0"/>
              <w:marRight w:val="0"/>
              <w:marTop w:val="0"/>
              <w:marBottom w:val="166"/>
              <w:divBdr>
                <w:top w:val="none" w:sz="0" w:space="0" w:color="auto"/>
                <w:left w:val="none" w:sz="0" w:space="0" w:color="auto"/>
                <w:bottom w:val="none" w:sz="0" w:space="0" w:color="auto"/>
                <w:right w:val="none" w:sz="0" w:space="0" w:color="auto"/>
              </w:divBdr>
              <w:divsChild>
                <w:div w:id="50816180">
                  <w:marLeft w:val="0"/>
                  <w:marRight w:val="0"/>
                  <w:marTop w:val="0"/>
                  <w:marBottom w:val="0"/>
                  <w:divBdr>
                    <w:top w:val="none" w:sz="0" w:space="0" w:color="auto"/>
                    <w:left w:val="none" w:sz="0" w:space="0" w:color="auto"/>
                    <w:bottom w:val="none" w:sz="0" w:space="0" w:color="auto"/>
                    <w:right w:val="none" w:sz="0" w:space="0" w:color="auto"/>
                  </w:divBdr>
                  <w:divsChild>
                    <w:div w:id="41441450">
                      <w:marLeft w:val="0"/>
                      <w:marRight w:val="0"/>
                      <w:marTop w:val="0"/>
                      <w:marBottom w:val="0"/>
                      <w:divBdr>
                        <w:top w:val="none" w:sz="0" w:space="0" w:color="auto"/>
                        <w:left w:val="none" w:sz="0" w:space="0" w:color="auto"/>
                        <w:bottom w:val="none" w:sz="0" w:space="0" w:color="auto"/>
                        <w:right w:val="none" w:sz="0" w:space="0" w:color="auto"/>
                      </w:divBdr>
                      <w:divsChild>
                        <w:div w:id="1257903069">
                          <w:marLeft w:val="0"/>
                          <w:marRight w:val="0"/>
                          <w:marTop w:val="0"/>
                          <w:marBottom w:val="0"/>
                          <w:divBdr>
                            <w:top w:val="none" w:sz="0" w:space="0" w:color="auto"/>
                            <w:left w:val="none" w:sz="0" w:space="0" w:color="auto"/>
                            <w:bottom w:val="none" w:sz="0" w:space="0" w:color="auto"/>
                            <w:right w:val="none" w:sz="0" w:space="0" w:color="auto"/>
                          </w:divBdr>
                        </w:div>
                        <w:div w:id="177739040">
                          <w:marLeft w:val="0"/>
                          <w:marRight w:val="0"/>
                          <w:marTop w:val="0"/>
                          <w:marBottom w:val="0"/>
                          <w:divBdr>
                            <w:top w:val="none" w:sz="0" w:space="0" w:color="auto"/>
                            <w:left w:val="none" w:sz="0" w:space="0" w:color="auto"/>
                            <w:bottom w:val="none" w:sz="0" w:space="0" w:color="auto"/>
                            <w:right w:val="none" w:sz="0" w:space="0" w:color="auto"/>
                          </w:divBdr>
                        </w:div>
                        <w:div w:id="1674987351">
                          <w:marLeft w:val="240"/>
                          <w:marRight w:val="0"/>
                          <w:marTop w:val="0"/>
                          <w:marBottom w:val="0"/>
                          <w:divBdr>
                            <w:top w:val="none" w:sz="0" w:space="0" w:color="auto"/>
                            <w:left w:val="none" w:sz="0" w:space="0" w:color="auto"/>
                            <w:bottom w:val="none" w:sz="0" w:space="0" w:color="auto"/>
                            <w:right w:val="none" w:sz="0" w:space="0" w:color="auto"/>
                          </w:divBdr>
                          <w:divsChild>
                            <w:div w:id="20567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86253">
                      <w:marLeft w:val="0"/>
                      <w:marRight w:val="0"/>
                      <w:marTop w:val="0"/>
                      <w:marBottom w:val="0"/>
                      <w:divBdr>
                        <w:top w:val="none" w:sz="0" w:space="0" w:color="auto"/>
                        <w:left w:val="none" w:sz="0" w:space="0" w:color="auto"/>
                        <w:bottom w:val="none" w:sz="0" w:space="0" w:color="auto"/>
                        <w:right w:val="none" w:sz="0" w:space="0" w:color="auto"/>
                      </w:divBdr>
                      <w:divsChild>
                        <w:div w:id="526068165">
                          <w:marLeft w:val="0"/>
                          <w:marRight w:val="0"/>
                          <w:marTop w:val="0"/>
                          <w:marBottom w:val="0"/>
                          <w:divBdr>
                            <w:top w:val="none" w:sz="0" w:space="0" w:color="auto"/>
                            <w:left w:val="none" w:sz="0" w:space="0" w:color="auto"/>
                            <w:bottom w:val="none" w:sz="0" w:space="0" w:color="auto"/>
                            <w:right w:val="none" w:sz="0" w:space="0" w:color="auto"/>
                          </w:divBdr>
                        </w:div>
                        <w:div w:id="2375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23000">
              <w:marLeft w:val="0"/>
              <w:marRight w:val="0"/>
              <w:marTop w:val="166"/>
              <w:marBottom w:val="166"/>
              <w:divBdr>
                <w:top w:val="none" w:sz="0" w:space="0" w:color="auto"/>
                <w:left w:val="none" w:sz="0" w:space="0" w:color="auto"/>
                <w:bottom w:val="none" w:sz="0" w:space="0" w:color="auto"/>
                <w:right w:val="none" w:sz="0" w:space="0" w:color="auto"/>
              </w:divBdr>
              <w:divsChild>
                <w:div w:id="607662578">
                  <w:marLeft w:val="0"/>
                  <w:marRight w:val="0"/>
                  <w:marTop w:val="0"/>
                  <w:marBottom w:val="0"/>
                  <w:divBdr>
                    <w:top w:val="none" w:sz="0" w:space="0" w:color="auto"/>
                    <w:left w:val="none" w:sz="0" w:space="0" w:color="auto"/>
                    <w:bottom w:val="none" w:sz="0" w:space="0" w:color="auto"/>
                    <w:right w:val="none" w:sz="0" w:space="0" w:color="auto"/>
                  </w:divBdr>
                </w:div>
              </w:divsChild>
            </w:div>
            <w:div w:id="951478078">
              <w:marLeft w:val="0"/>
              <w:marRight w:val="0"/>
              <w:marTop w:val="166"/>
              <w:marBottom w:val="166"/>
              <w:divBdr>
                <w:top w:val="none" w:sz="0" w:space="0" w:color="auto"/>
                <w:left w:val="none" w:sz="0" w:space="0" w:color="auto"/>
                <w:bottom w:val="none" w:sz="0" w:space="0" w:color="auto"/>
                <w:right w:val="none" w:sz="0" w:space="0" w:color="auto"/>
              </w:divBdr>
              <w:divsChild>
                <w:div w:id="473258549">
                  <w:marLeft w:val="0"/>
                  <w:marRight w:val="0"/>
                  <w:marTop w:val="0"/>
                  <w:marBottom w:val="0"/>
                  <w:divBdr>
                    <w:top w:val="none" w:sz="0" w:space="0" w:color="auto"/>
                    <w:left w:val="none" w:sz="0" w:space="0" w:color="auto"/>
                    <w:bottom w:val="none" w:sz="0" w:space="0" w:color="auto"/>
                    <w:right w:val="none" w:sz="0" w:space="0" w:color="auto"/>
                  </w:divBdr>
                </w:div>
              </w:divsChild>
            </w:div>
            <w:div w:id="871841824">
              <w:marLeft w:val="0"/>
              <w:marRight w:val="0"/>
              <w:marTop w:val="332"/>
              <w:marBottom w:val="332"/>
              <w:divBdr>
                <w:top w:val="single" w:sz="6" w:space="5" w:color="EAC3AF"/>
                <w:left w:val="single" w:sz="6" w:space="8" w:color="EAC3AF"/>
                <w:bottom w:val="single" w:sz="6" w:space="5" w:color="EAC3AF"/>
                <w:right w:val="single" w:sz="6" w:space="8" w:color="EAC3AF"/>
              </w:divBdr>
              <w:divsChild>
                <w:div w:id="1251767512">
                  <w:marLeft w:val="0"/>
                  <w:marRight w:val="0"/>
                  <w:marTop w:val="0"/>
                  <w:marBottom w:val="0"/>
                  <w:divBdr>
                    <w:top w:val="none" w:sz="0" w:space="0" w:color="auto"/>
                    <w:left w:val="none" w:sz="0" w:space="0" w:color="auto"/>
                    <w:bottom w:val="none" w:sz="0" w:space="0" w:color="auto"/>
                    <w:right w:val="none" w:sz="0" w:space="0" w:color="auto"/>
                  </w:divBdr>
                  <w:divsChild>
                    <w:div w:id="1377662052">
                      <w:marLeft w:val="0"/>
                      <w:marRight w:val="0"/>
                      <w:marTop w:val="0"/>
                      <w:marBottom w:val="0"/>
                      <w:divBdr>
                        <w:top w:val="none" w:sz="0" w:space="0" w:color="auto"/>
                        <w:left w:val="none" w:sz="0" w:space="0" w:color="auto"/>
                        <w:bottom w:val="none" w:sz="0" w:space="0" w:color="auto"/>
                        <w:right w:val="none" w:sz="0" w:space="0" w:color="auto"/>
                      </w:divBdr>
                    </w:div>
                    <w:div w:id="146592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048885">
          <w:marLeft w:val="0"/>
          <w:marRight w:val="0"/>
          <w:marTop w:val="0"/>
          <w:marBottom w:val="0"/>
          <w:divBdr>
            <w:top w:val="none" w:sz="0" w:space="0" w:color="auto"/>
            <w:left w:val="none" w:sz="0" w:space="0" w:color="auto"/>
            <w:bottom w:val="none" w:sz="0" w:space="0" w:color="auto"/>
            <w:right w:val="none" w:sz="0" w:space="0" w:color="auto"/>
          </w:divBdr>
        </w:div>
      </w:divsChild>
    </w:div>
    <w:div w:id="1370229443">
      <w:bodyDiv w:val="1"/>
      <w:marLeft w:val="0"/>
      <w:marRight w:val="0"/>
      <w:marTop w:val="0"/>
      <w:marBottom w:val="0"/>
      <w:divBdr>
        <w:top w:val="none" w:sz="0" w:space="0" w:color="auto"/>
        <w:left w:val="none" w:sz="0" w:space="0" w:color="auto"/>
        <w:bottom w:val="none" w:sz="0" w:space="0" w:color="auto"/>
        <w:right w:val="none" w:sz="0" w:space="0" w:color="auto"/>
      </w:divBdr>
    </w:div>
    <w:div w:id="1482194702">
      <w:bodyDiv w:val="1"/>
      <w:marLeft w:val="0"/>
      <w:marRight w:val="0"/>
      <w:marTop w:val="0"/>
      <w:marBottom w:val="0"/>
      <w:divBdr>
        <w:top w:val="none" w:sz="0" w:space="0" w:color="auto"/>
        <w:left w:val="none" w:sz="0" w:space="0" w:color="auto"/>
        <w:bottom w:val="none" w:sz="0" w:space="0" w:color="auto"/>
        <w:right w:val="none" w:sz="0" w:space="0" w:color="auto"/>
      </w:divBdr>
    </w:div>
    <w:div w:id="1631939626">
      <w:bodyDiv w:val="1"/>
      <w:marLeft w:val="0"/>
      <w:marRight w:val="0"/>
      <w:marTop w:val="0"/>
      <w:marBottom w:val="0"/>
      <w:divBdr>
        <w:top w:val="none" w:sz="0" w:space="0" w:color="auto"/>
        <w:left w:val="none" w:sz="0" w:space="0" w:color="auto"/>
        <w:bottom w:val="none" w:sz="0" w:space="0" w:color="auto"/>
        <w:right w:val="none" w:sz="0" w:space="0" w:color="auto"/>
      </w:divBdr>
      <w:divsChild>
        <w:div w:id="379742393">
          <w:marLeft w:val="0"/>
          <w:marRight w:val="0"/>
          <w:marTop w:val="0"/>
          <w:marBottom w:val="0"/>
          <w:divBdr>
            <w:top w:val="none" w:sz="0" w:space="0" w:color="auto"/>
            <w:left w:val="none" w:sz="0" w:space="0" w:color="auto"/>
            <w:bottom w:val="none" w:sz="0" w:space="0" w:color="auto"/>
            <w:right w:val="none" w:sz="0" w:space="0" w:color="auto"/>
          </w:divBdr>
          <w:divsChild>
            <w:div w:id="929965918">
              <w:marLeft w:val="0"/>
              <w:marRight w:val="0"/>
              <w:marTop w:val="0"/>
              <w:marBottom w:val="0"/>
              <w:divBdr>
                <w:top w:val="none" w:sz="0" w:space="0" w:color="auto"/>
                <w:left w:val="none" w:sz="0" w:space="0" w:color="auto"/>
                <w:bottom w:val="none" w:sz="0" w:space="0" w:color="auto"/>
                <w:right w:val="none" w:sz="0" w:space="0" w:color="auto"/>
              </w:divBdr>
              <w:divsChild>
                <w:div w:id="1314674422">
                  <w:marLeft w:val="0"/>
                  <w:marRight w:val="0"/>
                  <w:marTop w:val="0"/>
                  <w:marBottom w:val="0"/>
                  <w:divBdr>
                    <w:top w:val="none" w:sz="0" w:space="0" w:color="auto"/>
                    <w:left w:val="none" w:sz="0" w:space="0" w:color="auto"/>
                    <w:bottom w:val="none" w:sz="0" w:space="0" w:color="auto"/>
                    <w:right w:val="none" w:sz="0" w:space="0" w:color="auto"/>
                  </w:divBdr>
                </w:div>
                <w:div w:id="802233300">
                  <w:marLeft w:val="0"/>
                  <w:marRight w:val="0"/>
                  <w:marTop w:val="0"/>
                  <w:marBottom w:val="0"/>
                  <w:divBdr>
                    <w:top w:val="none" w:sz="0" w:space="0" w:color="auto"/>
                    <w:left w:val="none" w:sz="0" w:space="0" w:color="auto"/>
                    <w:bottom w:val="none" w:sz="0" w:space="0" w:color="auto"/>
                    <w:right w:val="none" w:sz="0" w:space="0" w:color="auto"/>
                  </w:divBdr>
                </w:div>
                <w:div w:id="414399008">
                  <w:marLeft w:val="0"/>
                  <w:marRight w:val="0"/>
                  <w:marTop w:val="0"/>
                  <w:marBottom w:val="0"/>
                  <w:divBdr>
                    <w:top w:val="none" w:sz="0" w:space="0" w:color="auto"/>
                    <w:left w:val="none" w:sz="0" w:space="0" w:color="auto"/>
                    <w:bottom w:val="none" w:sz="0" w:space="0" w:color="auto"/>
                    <w:right w:val="none" w:sz="0" w:space="0" w:color="auto"/>
                  </w:divBdr>
                </w:div>
                <w:div w:id="1789739247">
                  <w:marLeft w:val="0"/>
                  <w:marRight w:val="0"/>
                  <w:marTop w:val="0"/>
                  <w:marBottom w:val="0"/>
                  <w:divBdr>
                    <w:top w:val="none" w:sz="0" w:space="0" w:color="auto"/>
                    <w:left w:val="none" w:sz="0" w:space="0" w:color="auto"/>
                    <w:bottom w:val="none" w:sz="0" w:space="0" w:color="auto"/>
                    <w:right w:val="none" w:sz="0" w:space="0" w:color="auto"/>
                  </w:divBdr>
                </w:div>
                <w:div w:id="561713555">
                  <w:marLeft w:val="0"/>
                  <w:marRight w:val="0"/>
                  <w:marTop w:val="0"/>
                  <w:marBottom w:val="0"/>
                  <w:divBdr>
                    <w:top w:val="none" w:sz="0" w:space="0" w:color="auto"/>
                    <w:left w:val="none" w:sz="0" w:space="0" w:color="auto"/>
                    <w:bottom w:val="none" w:sz="0" w:space="0" w:color="auto"/>
                    <w:right w:val="none" w:sz="0" w:space="0" w:color="auto"/>
                  </w:divBdr>
                </w:div>
              </w:divsChild>
            </w:div>
            <w:div w:id="1320428084">
              <w:marLeft w:val="0"/>
              <w:marRight w:val="0"/>
              <w:marTop w:val="0"/>
              <w:marBottom w:val="0"/>
              <w:divBdr>
                <w:top w:val="none" w:sz="0" w:space="0" w:color="auto"/>
                <w:left w:val="none" w:sz="0" w:space="0" w:color="auto"/>
                <w:bottom w:val="none" w:sz="0" w:space="0" w:color="auto"/>
                <w:right w:val="none" w:sz="0" w:space="0" w:color="auto"/>
              </w:divBdr>
            </w:div>
            <w:div w:id="2045448450">
              <w:marLeft w:val="0"/>
              <w:marRight w:val="0"/>
              <w:marTop w:val="0"/>
              <w:marBottom w:val="0"/>
              <w:divBdr>
                <w:top w:val="none" w:sz="0" w:space="0" w:color="auto"/>
                <w:left w:val="none" w:sz="0" w:space="0" w:color="auto"/>
                <w:bottom w:val="none" w:sz="0" w:space="0" w:color="auto"/>
                <w:right w:val="none" w:sz="0" w:space="0" w:color="auto"/>
              </w:divBdr>
              <w:divsChild>
                <w:div w:id="506410518">
                  <w:marLeft w:val="0"/>
                  <w:marRight w:val="0"/>
                  <w:marTop w:val="300"/>
                  <w:marBottom w:val="300"/>
                  <w:divBdr>
                    <w:top w:val="single" w:sz="6" w:space="9" w:color="989898"/>
                    <w:left w:val="single" w:sz="6" w:space="9" w:color="989898"/>
                    <w:bottom w:val="single" w:sz="6" w:space="9" w:color="989898"/>
                    <w:right w:val="single" w:sz="6" w:space="9" w:color="989898"/>
                  </w:divBdr>
                  <w:divsChild>
                    <w:div w:id="617689326">
                      <w:marLeft w:val="0"/>
                      <w:marRight w:val="0"/>
                      <w:marTop w:val="0"/>
                      <w:marBottom w:val="0"/>
                      <w:divBdr>
                        <w:top w:val="none" w:sz="0" w:space="0" w:color="auto"/>
                        <w:left w:val="none" w:sz="0" w:space="0" w:color="auto"/>
                        <w:bottom w:val="none" w:sz="0" w:space="0" w:color="auto"/>
                        <w:right w:val="none" w:sz="0" w:space="0" w:color="auto"/>
                      </w:divBdr>
                    </w:div>
                  </w:divsChild>
                </w:div>
                <w:div w:id="879243894">
                  <w:marLeft w:val="0"/>
                  <w:marRight w:val="0"/>
                  <w:marTop w:val="300"/>
                  <w:marBottom w:val="300"/>
                  <w:divBdr>
                    <w:top w:val="single" w:sz="6" w:space="9" w:color="989898"/>
                    <w:left w:val="single" w:sz="6" w:space="9" w:color="989898"/>
                    <w:bottom w:val="single" w:sz="6" w:space="9" w:color="989898"/>
                    <w:right w:val="single" w:sz="6" w:space="9" w:color="989898"/>
                  </w:divBdr>
                  <w:divsChild>
                    <w:div w:id="20672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438286">
          <w:marLeft w:val="0"/>
          <w:marRight w:val="0"/>
          <w:marTop w:val="375"/>
          <w:marBottom w:val="225"/>
          <w:divBdr>
            <w:top w:val="none" w:sz="0" w:space="0" w:color="auto"/>
            <w:left w:val="none" w:sz="0" w:space="0" w:color="auto"/>
            <w:bottom w:val="none" w:sz="0" w:space="0" w:color="auto"/>
            <w:right w:val="none" w:sz="0" w:space="0" w:color="auto"/>
          </w:divBdr>
          <w:divsChild>
            <w:div w:id="879436748">
              <w:marLeft w:val="0"/>
              <w:marRight w:val="0"/>
              <w:marTop w:val="0"/>
              <w:marBottom w:val="0"/>
              <w:divBdr>
                <w:top w:val="none" w:sz="0" w:space="8" w:color="auto"/>
                <w:left w:val="single" w:sz="6" w:space="8" w:color="000000"/>
                <w:bottom w:val="single" w:sz="6" w:space="4" w:color="000000"/>
                <w:right w:val="single" w:sz="6" w:space="8" w:color="000000"/>
              </w:divBdr>
              <w:divsChild>
                <w:div w:id="1143619156">
                  <w:marLeft w:val="0"/>
                  <w:marRight w:val="0"/>
                  <w:marTop w:val="0"/>
                  <w:marBottom w:val="0"/>
                  <w:divBdr>
                    <w:top w:val="single" w:sz="6" w:space="5" w:color="EEEEEE"/>
                    <w:left w:val="single" w:sz="6" w:space="5" w:color="EEEEEE"/>
                    <w:bottom w:val="single" w:sz="6" w:space="0" w:color="EEEEEE"/>
                    <w:right w:val="single" w:sz="6" w:space="5" w:color="EEEEEE"/>
                  </w:divBdr>
                </w:div>
              </w:divsChild>
            </w:div>
          </w:divsChild>
        </w:div>
      </w:divsChild>
    </w:div>
    <w:div w:id="1666083981">
      <w:bodyDiv w:val="1"/>
      <w:marLeft w:val="0"/>
      <w:marRight w:val="0"/>
      <w:marTop w:val="0"/>
      <w:marBottom w:val="0"/>
      <w:divBdr>
        <w:top w:val="none" w:sz="0" w:space="0" w:color="auto"/>
        <w:left w:val="none" w:sz="0" w:space="0" w:color="auto"/>
        <w:bottom w:val="none" w:sz="0" w:space="0" w:color="auto"/>
        <w:right w:val="none" w:sz="0" w:space="0" w:color="auto"/>
      </w:divBdr>
    </w:div>
    <w:div w:id="1690255380">
      <w:bodyDiv w:val="1"/>
      <w:marLeft w:val="0"/>
      <w:marRight w:val="0"/>
      <w:marTop w:val="0"/>
      <w:marBottom w:val="0"/>
      <w:divBdr>
        <w:top w:val="none" w:sz="0" w:space="0" w:color="auto"/>
        <w:left w:val="none" w:sz="0" w:space="0" w:color="auto"/>
        <w:bottom w:val="none" w:sz="0" w:space="0" w:color="auto"/>
        <w:right w:val="none" w:sz="0" w:space="0" w:color="auto"/>
      </w:divBdr>
    </w:div>
    <w:div w:id="1734235173">
      <w:bodyDiv w:val="1"/>
      <w:marLeft w:val="0"/>
      <w:marRight w:val="0"/>
      <w:marTop w:val="0"/>
      <w:marBottom w:val="0"/>
      <w:divBdr>
        <w:top w:val="none" w:sz="0" w:space="0" w:color="auto"/>
        <w:left w:val="none" w:sz="0" w:space="0" w:color="auto"/>
        <w:bottom w:val="none" w:sz="0" w:space="0" w:color="auto"/>
        <w:right w:val="none" w:sz="0" w:space="0" w:color="auto"/>
      </w:divBdr>
    </w:div>
    <w:div w:id="1744402930">
      <w:bodyDiv w:val="1"/>
      <w:marLeft w:val="0"/>
      <w:marRight w:val="0"/>
      <w:marTop w:val="0"/>
      <w:marBottom w:val="0"/>
      <w:divBdr>
        <w:top w:val="none" w:sz="0" w:space="0" w:color="auto"/>
        <w:left w:val="none" w:sz="0" w:space="0" w:color="auto"/>
        <w:bottom w:val="none" w:sz="0" w:space="0" w:color="auto"/>
        <w:right w:val="none" w:sz="0" w:space="0" w:color="auto"/>
      </w:divBdr>
    </w:div>
    <w:div w:id="1787458946">
      <w:bodyDiv w:val="1"/>
      <w:marLeft w:val="0"/>
      <w:marRight w:val="0"/>
      <w:marTop w:val="0"/>
      <w:marBottom w:val="0"/>
      <w:divBdr>
        <w:top w:val="none" w:sz="0" w:space="0" w:color="auto"/>
        <w:left w:val="none" w:sz="0" w:space="0" w:color="auto"/>
        <w:bottom w:val="none" w:sz="0" w:space="0" w:color="auto"/>
        <w:right w:val="none" w:sz="0" w:space="0" w:color="auto"/>
      </w:divBdr>
    </w:div>
    <w:div w:id="1902211392">
      <w:bodyDiv w:val="1"/>
      <w:marLeft w:val="0"/>
      <w:marRight w:val="0"/>
      <w:marTop w:val="0"/>
      <w:marBottom w:val="0"/>
      <w:divBdr>
        <w:top w:val="none" w:sz="0" w:space="0" w:color="auto"/>
        <w:left w:val="none" w:sz="0" w:space="0" w:color="auto"/>
        <w:bottom w:val="none" w:sz="0" w:space="0" w:color="auto"/>
        <w:right w:val="none" w:sz="0" w:space="0" w:color="auto"/>
      </w:divBdr>
    </w:div>
    <w:div w:id="1941718075">
      <w:bodyDiv w:val="1"/>
      <w:marLeft w:val="0"/>
      <w:marRight w:val="0"/>
      <w:marTop w:val="0"/>
      <w:marBottom w:val="0"/>
      <w:divBdr>
        <w:top w:val="none" w:sz="0" w:space="0" w:color="auto"/>
        <w:left w:val="none" w:sz="0" w:space="0" w:color="auto"/>
        <w:bottom w:val="none" w:sz="0" w:space="0" w:color="auto"/>
        <w:right w:val="none" w:sz="0" w:space="0" w:color="auto"/>
      </w:divBdr>
    </w:div>
    <w:div w:id="1966503926">
      <w:bodyDiv w:val="1"/>
      <w:marLeft w:val="0"/>
      <w:marRight w:val="0"/>
      <w:marTop w:val="0"/>
      <w:marBottom w:val="0"/>
      <w:divBdr>
        <w:top w:val="none" w:sz="0" w:space="0" w:color="auto"/>
        <w:left w:val="none" w:sz="0" w:space="0" w:color="auto"/>
        <w:bottom w:val="none" w:sz="0" w:space="0" w:color="auto"/>
        <w:right w:val="none" w:sz="0" w:space="0" w:color="auto"/>
      </w:divBdr>
    </w:div>
    <w:div w:id="201025729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nwo.nl/" TargetMode="External"/><Relationship Id="rId20" Type="http://schemas.openxmlformats.org/officeDocument/2006/relationships/theme" Target="theme/theme1.xml"/><Relationship Id="rId25" Type="http://schemas.microsoft.com/office/2011/relationships/people" Target="people.xml"/><Relationship Id="rId10" Type="http://schemas.openxmlformats.org/officeDocument/2006/relationships/hyperlink" Target="http://www.isst-d.org/about/awards.htm" TargetMode="Externa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1.jpg"/><Relationship Id="rId14" Type="http://schemas.openxmlformats.org/officeDocument/2006/relationships/image" Target="media/image2.jpg"/><Relationship Id="rId15" Type="http://schemas.openxmlformats.org/officeDocument/2006/relationships/footer" Target="footer3.xml"/><Relationship Id="rId16" Type="http://schemas.openxmlformats.org/officeDocument/2006/relationships/footer" Target="footer4.xml"/><Relationship Id="rId17" Type="http://schemas.openxmlformats.org/officeDocument/2006/relationships/image" Target="media/image3.jpg"/><Relationship Id="rId18" Type="http://schemas.openxmlformats.org/officeDocument/2006/relationships/image" Target="media/image4.jp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93FDF-9CAA-524F-916A-DEF141302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53440</Words>
  <Characters>293923</Characters>
  <Application>Microsoft Macintosh Word</Application>
  <DocSecurity>0</DocSecurity>
  <Lines>2449</Lines>
  <Paragraphs>693</Paragraphs>
  <ScaleCrop>false</ScaleCrop>
  <HeadingPairs>
    <vt:vector size="2" baseType="variant">
      <vt:variant>
        <vt:lpstr>Title</vt:lpstr>
      </vt:variant>
      <vt:variant>
        <vt:i4>1</vt:i4>
      </vt:variant>
    </vt:vector>
  </HeadingPairs>
  <TitlesOfParts>
    <vt:vector size="1" baseType="lpstr">
      <vt:lpstr/>
    </vt:vector>
  </TitlesOfParts>
  <Company>IoP King's College</Company>
  <LinksUpToDate>false</LinksUpToDate>
  <CharactersWithSpaces>346670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Ecker, Christine</dc:creator>
  <cp:lastModifiedBy>Ellert Nijenhuis</cp:lastModifiedBy>
  <cp:revision>2</cp:revision>
  <cp:lastPrinted>2017-11-15T14:46:00Z</cp:lastPrinted>
  <dcterms:created xsi:type="dcterms:W3CDTF">2017-11-20T12:45:00Z</dcterms:created>
  <dcterms:modified xsi:type="dcterms:W3CDTF">2017-11-20T12:45:00Z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id="http://www.zotero.org/styles/apa"/&gt;&lt;format class="21"/&gt;&lt;count citations="3" publications="6"/&gt;&lt;/info&gt;PAPERS2_INFO_END</vt:lpwstr>
  </property>
  <property fmtid="{D5CDD505-2E9C-101B-9397-08002B2CF9AE}" pid="3" name="Mendeley Document_1">
    <vt:lpwstr>True</vt:lpwstr>
  </property>
  <property fmtid="{D5CDD505-2E9C-101B-9397-08002B2CF9AE}" pid="4" name="Mendeley Citation Style_1">
    <vt:lpwstr>http://www.zotero.org/styles/acta-psychiatrica-scandinavica</vt:lpwstr>
  </property>
  <property fmtid="{D5CDD505-2E9C-101B-9397-08002B2CF9AE}" pid="5" name="Mendeley Recent Style Id 0_1">
    <vt:lpwstr>http://www.zotero.org/styles/acta-psychiatrica-scandinavica</vt:lpwstr>
  </property>
  <property fmtid="{D5CDD505-2E9C-101B-9397-08002B2CF9AE}" pid="6" name="Mendeley Recent Style Name 0_1">
    <vt:lpwstr>Acta Psychiatrica Scandinavica</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vt:lpwstr>
  </property>
  <property fmtid="{D5CDD505-2E9C-101B-9397-08002B2CF9AE}" pid="9" name="Mendeley Recent Style Id 2_1">
    <vt:lpwstr>http://csl.mendeley.com/styles/66459631/vidi2-2</vt:lpwstr>
  </property>
  <property fmtid="{D5CDD505-2E9C-101B-9397-08002B2CF9AE}" pid="10" name="Mendeley Recent Style Name 2_1">
    <vt:lpwstr>American Medical Association (no "et al.") - A.A.T.S. Reinders</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6th edition</vt:lpwstr>
  </property>
  <property fmtid="{D5CDD505-2E9C-101B-9397-08002B2CF9AE}" pid="13" name="Mendeley Recent Style Id 4_1">
    <vt:lpwstr>http://www.zotero.org/styles/biological-psychiatry</vt:lpwstr>
  </property>
  <property fmtid="{D5CDD505-2E9C-101B-9397-08002B2CF9AE}" pid="14" name="Mendeley Recent Style Name 4_1">
    <vt:lpwstr>Biological Psychiatry</vt:lpwstr>
  </property>
  <property fmtid="{D5CDD505-2E9C-101B-9397-08002B2CF9AE}" pid="15" name="Mendeley Recent Style Id 5_1">
    <vt:lpwstr>http://www.zotero.org/styles/brain</vt:lpwstr>
  </property>
  <property fmtid="{D5CDD505-2E9C-101B-9397-08002B2CF9AE}" pid="16" name="Mendeley Recent Style Name 5_1">
    <vt:lpwstr>Brain</vt:lpwstr>
  </property>
  <property fmtid="{D5CDD505-2E9C-101B-9397-08002B2CF9AE}" pid="17" name="Mendeley Recent Style Id 6_1">
    <vt:lpwstr>http://www.zotero.org/styles/chicago-author-date</vt:lpwstr>
  </property>
  <property fmtid="{D5CDD505-2E9C-101B-9397-08002B2CF9AE}" pid="18" name="Mendeley Recent Style Name 6_1">
    <vt:lpwstr>Chicago Manual of Style 16th edition (author-date)</vt:lpwstr>
  </property>
  <property fmtid="{D5CDD505-2E9C-101B-9397-08002B2CF9AE}" pid="19" name="Mendeley Recent Style Id 7_1">
    <vt:lpwstr>http://www.zotero.org/styles/harvard1</vt:lpwstr>
  </property>
  <property fmtid="{D5CDD505-2E9C-101B-9397-08002B2CF9AE}" pid="20" name="Mendeley Recent Style Name 7_1">
    <vt:lpwstr>Harvard Reference format 1 (author-date)</vt:lpwstr>
  </property>
  <property fmtid="{D5CDD505-2E9C-101B-9397-08002B2CF9AE}" pid="21" name="Mendeley Recent Style Id 8_1">
    <vt:lpwstr>http://csl.mendeley.com/styles/66459631/The-Journal-of-Nervous-and-Mental-disease</vt:lpwstr>
  </property>
  <property fmtid="{D5CDD505-2E9C-101B-9397-08002B2CF9AE}" pid="22" name="Mendeley Recent Style Name 8_1">
    <vt:lpwstr>Journal of Dental Research - JNMD</vt:lpwstr>
  </property>
  <property fmtid="{D5CDD505-2E9C-101B-9397-08002B2CF9AE}" pid="23" name="Mendeley Recent Style Id 9_1">
    <vt:lpwstr>http://www.zotero.org/styles/the-british-journal-of-psychiatry</vt:lpwstr>
  </property>
  <property fmtid="{D5CDD505-2E9C-101B-9397-08002B2CF9AE}" pid="24" name="Mendeley Recent Style Name 9_1">
    <vt:lpwstr>The British Journal of Psychiatry</vt:lpwstr>
  </property>
  <property fmtid="{D5CDD505-2E9C-101B-9397-08002B2CF9AE}" pid="25" name="Mendeley Unique User Id_1">
    <vt:lpwstr>a7e902a4-06b0-3a6f-9f07-abf5ddd3e1c8</vt:lpwstr>
  </property>
</Properties>
</file>